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providencia de la Sección Primera de Sala de lo Contencioso-Administrativo del Tribunal Supremo dictada el 3 de febrero de 2014 en el recurso de casación núm. 1022-2013 que declaraba la inadmisión del incidente de nulidad de actuaciones interpuesto contra el Auto de 24 de octubre de 2013 que inadmitió el recurso de casación interpuesto contra la Sentencia de la Sala de lo Contencioso-Administrativo de la Audiencia Nacional recaída en recurso 126-2010.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 de julio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24 de octubre de 2013 en el recurso de casación núm.1022-2013, resolución de la que trae causa la recurrida en el presente recurso de amparo núm. 1374-2014.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24 de octubre de 2013 en el recurso de casación núm. 1022-2013, resolución de la que trae causa la providencia de 3 de febrero de 2014 que ha sido impugnada en el presente recurso de amparo núm.1374-2014.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núm.1374-2014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