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198</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21 de julio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28 de febrero de 2013, tuvo entrada en el Registro General de este Tribunal un escrito firmado por don Adolfo Córdoba Vargas, anunciando su intención de promover recurso de amparo contra la Sentencia de 13 de noviembre de 2012, dictada por la Sección Segunda de la Audiencia Provincial de Baleares, por la que, estimando parcialmente el recurso de apelación interpuesto por el actor, revocó la Sentencia dictada por el Juzgado de lo Penal núm. 6 de Palma de Mallorca y condenó al recurrente como autor de un delito de robo con violencia, concurriendo la agravante de reincidencia y la atenuante de drogadicción, a la pena de dos años y cuatro meses de prisión, con inhabilitación especial para el ejercicio del derecho de sufragio pasivo durante el tiempo de la condena, manteniendo el pronunciamiento de la Sentencia impugnada en lo demás. Asimismo, dirigía su impugnación contra el Auto de 22 de enero de 2013, que inadmitió el incidente de nulidad de actuaciones promovido contra la Sentencia de apelación. A tales efectos solicitó la designación de un Procurador del turno de oficio al ser beneficiario de justicia gratuita, añadiendo que quien había actuado como su Abogado en la instancia aceptaba seguir ejerciendo gratuitamente su defensa en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Una vez designados el Letrado don José Javier García Oliver, a la sazón Letrado defensor en la instancia del aquí recurrente, al haber renunciado al cobro de honorarios, y el Procurador don José Fernando Lozano Moreno, se dio traslado para formalizar la demanda de amparo con sujeción a lo dispuesto en el art. 49 de la Ley Orgánica del Tribunal Constitucional (LOTC), siendo presentada la misma el 7 de junio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la vulneración del derecho a la tutela judicial efectiva (art. 24.1 CE), invocando la doctrina de este Tribunal sobre la prohibición de reforma peyorativa en materia de recursos, con cita de las SSTC 84/1985, de 8 de julio, y 126/2010, de 29 de noviembre. Se afirma que fue la defensa del acusado la única parte del procedimiento que impugnó la Sentencia del Juzgado, pese a lo cual la resolución dictada por la Audiencia, aunque estima uno de los motivos del recurso y declara no cometido el delito de robo con fuerza, mantiene la pena impuesta por la Sentencia recurrida, lo que supone incrementar la que corresponde al único delito en que se funda su condena, el de robo con violencia, al doble de su extensión original: de un año y dos meses de prisión, a dos años y cuatro meses. Se sostiene, por tanto, que hay reforma peyorativa porque la Sentencia de apelación ha revisado de oficio la aplicación del subtipo atenuado del delito del art. 242.3 del Código penal (CP), cuando el recurso solicitaba su mantenimiento, lo que determina la agravación o empeoramiento de la situación jurídica creada por la recurrida, con cita también de la STC 203/2007, de 24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medio de otrosí en la misma demanda, se solicitó la suspensión de la ejecución de la pena privativa de libertad impuesta al recurrente “por cuanto dada la escasa duración de la misma (dos años y cuatro meses) su cumplimiento durante la tramitación de este recurso haría perder al amparo su finalidad, no causando tal suspensión perturbación grave de los intereses generales. Todo ello según Doctrina de este Tribunal que entiende procedente acordarla en aquellos casos en que resulten afectados bienes de imposible o muy difícil restitución a su estado anterior, lo cual sucede en las condenas a penas privativas de libertad, habida cuenta de que ‘la libertad constituye un derecho cuya naturaleza convierte el perjuicio irrogado en irreparable, en caso de estimarse el amparo una vez cumplida parcial o totalmente la pena’ (AATC 155/2002 de 16 de septiembre, 9/2003 de 20 de enero, y 44/2012 de 12 de marzo). En relación con el criterio de gravedad de la pena este Tribunal viene aplicando la de que la pena se sitúe por encima o por debajo de la frontera de los cinco años de prisión …, que es la que sirve al legislador penal para diferenciar entre las penas graves y las menos graves”.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escrito presentado el 8 de abril de 2014, la representación del recurrente alega que el Juzgado de lo Penal núm. 8 de Palma de Mallorca ha incoado ejecutoria en su contra (núm. 2540-2013), denegando por Auto de 9 de diciembre de 2013 la suspensión de la pena de prisión que le fue solicitada, por lo que pide a este Tribunal Constitucional que admita a trámite su demanda de amparo y, con ello, acuerde dicha suspensión, aportando copia del Auto referido.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de este Tribunal dictó providencia el 10 de junio de 2014, acordando admitir a trámite el recurso, así como dirigir atenta comunicación a la Audiencia Provincial de Baleares, Sección Segunda, y al Juzgado de lo Penal núm. 6 de Palma de Mallorca, para que en plazo que no excediera de diez días remitieran certificación o fotocopia adverada de las actuaciones, con emplazamiento de quienes hubieren sido parte en el proceso de que trae causa el presente recurso de amparo, excepto la parte recurrente, para que pudieran comparecer en el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virtud de providencia de la misma fecha, la Sección Tercera acordó asimismo formar pieza separada para la tramitación del incidente sobre suspensión de los actos impugnados, concediendo plazo común de tres días a la parte recurrente y al Ministerio Fiscal, para que alegaran lo que estimaran pertinente sobre dicha solicitud.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presentado el 20 de junio de 2014, la representación procesal del recurrente se ratificó en la petición de suspensión de la pena de prisión, conforme a lo manifestado tanto en la demanda como en el escrito de 8 de abril de 2014, citando a mayor abundamiento en apoyo a su pretensión cautelar el ATC 75/2013, de 8 de abril, que otorga la medida en un supuesto de pena de prisión de tres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su parte, el Ministerio Fiscal formalizó escrito el 20 de junio de 2014, en el que interesó la denegación de la suspensión solicitada. Tras hacer un repaso sobre los antecedentes procesales del caso e invocar doctrina general (ATC 109/2008, FFJJ 1 y 2) acerca de la suspensión de resoluciones judiciales ex art. 56 LOTC, incluyendo aquellas que condenan a pena privativa de libertad, se centra el escrito en las circunstancias concretas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observa en primer término que en el Auto de 9 de diciembre de 2013 dictado por el Juzgado ejecutor, al tiempo que se deniega la suspensión de la prisión hasta que este Tribunal Constitucional resuelva al respecto, se señala en el razonamiento jurídico tercero, según interpreta la Fiscalía, que “el domicilio del penado es el Centro Proyecto Hombre de Benisalem, que está acreditada su toxifrenia, y que por Auto de 19 de agosto de 2013 se le concedió el beneficio de suspensión vía art. 87 CP”. Al tratarse por tanto de la suspensión en amparo de una condena penal previamente suspendida, prosigue diciendo, debe atenderse a la específica doctrina dictada por este Tribunal para tales situaciones. A tal efecto, el escrito de alegaciones cita el ATC 203/2012, en sentido favorable a la suspensión dado el distinto alcance que presenta dicha medida cautelar en la Jurisdicción Constitucional y en la ordinaria, con sujeción a los distintos requisitos que se exigen para su otorgamiento en cada una. En sentido contrario, sin embargo, menciona también el ATC 167/2013, el cual razona que la previa suspensión de la pena por el órgano judicial, hace perder su objeto a la petición de este tipo presentada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Constatada en palabras del Ministerio Fiscal, “la no del todo constante jurisprudencia del Tribunal sobre esta materia”, pero en todo caso teniendo en cuenta la situación del recurrente que entiende acreditada, el escrito de alegaciones se decanta por una solución desestimatoria: “la concesión de la suspensión por el Tribunal Constitucional podría llevar aparejado el abandono del tratamiento a que está sometido el solicitante, que, en todo caso, reconoce la corrección de la imposición de una pena privativa de libertad de un año y dos meses de prisión, que la suspensión concedida puede conllevar la extinción de la pena y que, en caso de revocación de la suspensión de la ejecución, el solicitante puede reiterar su petición de suspensión, este Ministerio Fiscal entiende que no debe acordarse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diligencia de 1 de julio de 2014 de la Secretaría de Justicia de la Sección Tercera de este Tribunal, se hace constar: “que se ha recibido vía fax, previa solicitud telefónica, del Juzgado de lo Penal núm. 8 de Palma de Mallorca, Auto de fecha 19 de agosto de 2013, dictado en la ejecutoria 2540-2013, Auto de 15 de noviembre de 2013, Auto de 9 de diciembre de 2013, y Auto de fecha 19 de junio de 2014, relativos al recurrente …, que se unen a la pieza de suspensión a los efectos oportunos”.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regla general, el apartado 1 del art. 56 de la Ley Orgánica del Tribunal Constitucional: LOTC (en la redacción dada por la Ley Orgánica 6/2007, de 24 de mayo) determina que “la interposición del recurso de amparo no suspenderá los efectos del acto o sentencia impugnados”. Regla que se somete a excepción en el apartado 2 del mismo precepto, permitiendo la medida de suspensión total o parcial de los efectos del acto o sentencia impugnados, cuando uno u otra “produzca un perjuicio al recurrente que pudiera hacer perder al amparo su finalidad”, condicionado en todo caso a que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la aplicación conjunta de ambas disposiciones, este Tribunal “…ha establecido como criterio general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entiende procedente acordarla en aquellos otros fallos en los que resultan afectados bienes o derechos del recurrente en amparo de imposible o muy difícil restitución a su estado anterior, lo cual sucede en las condenas a penas privativas de libertad, habida cuenta de que ‘la libertad constituye un derecho cuya naturaleza convierte el perjuicio irrogado en irreparable, en caso de estimarse el amparo una vez cumplida parcial o totalmente la pena’ (AATC 155/2002, de 16 de septiembre, FJ 3; 9/2003, de 20 de enero, FJ 2; y 44/2012, de 12 de marzo, FJ 1)…” (ATC 19/2014, de 27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este último caso, cuando se trata de la suspensión de penas de prisión, se ha venido reiterando doctrina en virtud de la cual: “…La evaluación de la gravedad de la perturbación que para el interés general tiene la suspensión de la ejecución de una pena constituye un juicio complejo dependiente de diversos factores, entre los que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De entre todos ellos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 (AATC 214/1997, 273/1998, y 289/2001)’ (ATC 211/2004, de 2 de junio, FJ 3). En relación con este criterio de gravedad de la pena este Tribunal adopta como directriz inicial la de que la pena se sitúe por encima o por debajo de la frontera de los cinco años de prisión, que es la que le sirve al legislador penal para diferenciar entre las penas graves y las menos graves (art. 33 CP)…” (ATC 31/2007, de 12 de febrero, FJ 2. En el mismo sentido, entre otros, AATC 420/2007, de 5 de noviembre, FJ 2; 42/2008, de 11 de febrero, FJ 1; 286/2008, de 22 de septiembre, FJ 1; 16/2009, de 26 de enero, FJ 1; 157/2009, de 18 de mayo, FFJJ 2 y 3; 50/2010, de 20 de abril, FJ 1; 44/2012, de 12 de marzo, FJ 2; 185/2012, de 15 de octubre, FJ 1; 61/2013, de 27 de febrero, FJ 2; 90/2014, de 27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canon general, sin embargo, se ha excepcionado en dos situaciones singulares donde, pese a ponderarse que concurren en el caso los requisitos necesarios para decretar la suspensión, la misma se deniega por carecer la medida de verdadera eficacia práctica. Así sucede: a) cuando la pena de la que se solicita la suspensión tiene fijada una fecha futura de inicio de cumplimiento, respecto de la cual resulta previsible que se haya dictado para entonces la Sentencia resolutoria del amparo (ATC 42/2008, de 11 de febrero, FJ 2), y b) si la persona debiera continuar en prisión en todo caso, en virtud del cumplimiento de otra ejecutoria anterior (ATC 486/1983, de 19 de octubre,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del acervo de doctrina al que se ha hecho referencia, conduce en este caso a rechazar la solicitud de suspensión que se formula, bien que con arreglo a razones distintas de las que esgrime el Ministerio público en su escrito de alegaciones. Este último arranca de un presupuesto de partida erróneo, como es la afirmación de que el recurrente ya había visto suspendida la pena de prisión por Auto del Juzgado ejecutor núm. 8 de Palma de Mallorca, de 19 de agosto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lectura de esta resolución judicial, remitida por fax a este Tribunal conforme se expuso en los antecedentes, permite verificar que lo resuelto por dicho Auto fue, únicamente, la apertura de la ejecutoria al haberse recibido las actuaciones del Juzgado de lo Penal núm. 6. En su parte dispositiva ese Auto señala, en lo que aquí importa, lo siguiente: “Atendido que existe una pena de 2 años y 4 meses de prisión, y a los efectos de resolver en relación a la suspensión de la pena privativa de libertad de acuerdo a lo previsto en la Sección primera del Capítulo III del Código Penal, se acuerda solicitar los antecedentes penales actualizados del condenado así como relación de ejecutorias que constan en este Ju[z]gado, y una vez recibidos dése vista del expediente confiriendo plazo de diez días a su representación, para que alegue lo que a su derecho convenga en relación a la concesión del beneficio, con la advertencia de que en el caso que se pretenda la aplicación de lo dispuesto en el artículo 87 CP, deberá aportarse certificación emitida por centro público o privado debidamente acreditado u homologado que acredite la deshabituación del penado o el sometimiento a tratamiento. Asimismo, para el caso que se pretenda la aplicación de lo dispuesto en el artículo 88 del Código Penal, y en el mismo plazo de diez días, se insta a la misma representación para que realice las alegaciones oportunas en relación a la sustitución de la pena. Una vez verificado lo anterior procédase a oír al Ministerio Fiscal y demás partes personadas en relación a la suspensión o sustitución solicitada, y con su resultado se acordará”.</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lo que acuerda el Auto de 19 de agosto de 2013 era abrir un trámite para que la defensa del penado pudiera solicitar la suspensión o, en su caso, la sustitución de la pena, aportando la certificación que se le indicaba, encargándose el Juzgado de recabar de oficio los antecedentes penales del recurrente, pero sin prejuzgar el resultado de tales peticiones, caso de que se formalizaran.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posterior Auto de 9 de diciembre de 2013 del mismo Juzgado, tras denegar como ya se ha dicho la suspensión de la pena de prisión instada por la defensa (al no resultar causa eficiente para ello, el hecho de la admisión a trámite del recurso de amparo por este Tribunal), se limita a constatar que teniendo el penado su domicilio en el centro “Proyecto Hombre” de Benisalem y acreditada en el fallo su situación de toxifrenia, “…estese por la defensa al Auto de 19 de agosto de 2013 en cuanto al beneficio suspensivo vía art. 87 CP se refiere, si a su derecho interesa, y al Auto de 15 de noviembre de 2013 en cuanto al abono de 500 euros en concepto de responsabilidad civil (requisito del que no exime el art. 87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deduce de este Auto de 9 de diciembre de 2013, que a tal fecha no se había resuelto todavía el trámite para decidir sobre la suspensión de la pena ex art. 87 del Código penal (CP); ni siquiera se había formalizado por su defensa dicha solicitud (“si a su derecho interesa”, dice, en condicional, lo que indica que aún no se había interesado, frase que incluso el Auto destaca en negritas y subrayado). Nada permite pensar que lo haya sido después, en fin, pues con la documentación enviada por fax por el Juzgado ejecutor, se incluye un Auto de 19 de junio de 2014 acordando la aprobación de la hoja de liquidación de condena de privación de libertad del penado aquí recurrente, de la que trataremos en el siguiente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dado que para resolver la pretensión cautelar que nos ocupa no se tienen que calibrar las consecuencias que comportaría acordar la suspensión, ex art. 56 LOTC, de una pena previamente suspendida en la vía judicial ordinaria como mecanismo alternativo a su ejecución (art. 87 CP), no resulta preciso tampoco entrar en el análisis que propone la Fiscalía en su escrito de alegaciones, concerniente a la doctrina de este Tribunal dictada a propósito de ese específico supuesto de hecho, en orden a dilucidar cuál de las dos posturas que se dicen discrepantes dentro de tal doctrina, resultaría de preferente seguimiento en este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Según ya se adelantó, el Juzgado de lo Penal núm. 8 de Palma de Mallorca ha remitido, previo requerimiento de este Tribunal, diversa documentación relativa a la situación personal del recurrente. En la misma se incluye la hoja de liquidación de condena aprobada por el Auto ya mencionado de 19 de junio de 2014, de la que importa resaltar los datos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recurrente ha sido condenado a un total de cinco penas privativas de libertad de distinta extensión, correspondientes cada una a otras tantas ejecutorias, habiendo empezado a cumplir la primera de ellas (ejecutoria núm. 5488-2011) en fecha 16 de noviembre de 2012, con extinción el 9 de agosto de 2013. Se encuentra actualmente cumpliendo la segunda de tales penas (ejecutoria núm. 4418-2012), desde el día 10 de agosto de 2013 y fecha de extinción el 4 de agosto de 2015; mientras que la tercera (ejecutoria núm. 947-2013, en este caso del Juzgado de lo Penal núm. 13 de Valencia) tiene fijada la fecha de inicio de cumplimiento el 5 de agosto de 2015, y la de su extinción el 30 de abril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cuarta ejecutoria (núm. 2540-2013) es la que corresponde a la pena de dos años y cuatro meses de prisión que ha sido recurrida en el presente amparo y de la que se solicita en concreto la suspensión cautelar. Ésta tiene fecha de inicio de cumplimiento el 1 de mayo de 2016 y de extinción, el 24 de agosto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 esa condena todavía ha de seguirle una última de once meses de prisión (ejecutoria núm. 137-2014), con fecha de inicio de cumplimiento el 25 de agosto de 2018, y de extinción el 16 de julio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en cuenta tales circunstancias resulta evidente, en primer lugar, que el otorgamiento de la suspensión que solicita el recurrente no posibilitaría su vida en libertad, pues debe afrontar a día de hoy dos condenas previas respecto de la que se solicita tal medida, la última de las cuales no expira hasta el 30 de abril de 2016, además de otra posterior. Y, en segundo lugar, que tomando como base este arco temporal, resulta más que probable que la Sentencia que habrá de resolver su recurso de amparo estará dictada ya, a la fecha de inicio de cumplimiento previsto por la ejecutoria que aquí nos concierne (1 de mayo de 2016), por lo que no cabe afirmar que el rechazo de la solicitud de suspensión de dicha pena, en este momento, haría perder al recurso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independientemente de la incidencia que pudiera tener en la ponderación de las circunstancias del caso el hecho de la reiteración delictiva, conforme a los criterios señalados en el ATC 265/2013, de 18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por tanto desestimar la pretensión del demandante de amparo, sin perjuicio del derecho que le asiste de volver a instar la solicitud cautelar si en el futuro aparecen hechos nuevos que justifiquen la adopción de la medida, por así preverlo de manera expresa el art. 57 de nuestra Ley Orgánica y declararlo nuestra constante doctrina [en relación a la pena de prisión, últimamente, AATC 433/2004, de 15 de noviembre, FJ 1; 202/2012, de 29 de octubre, FJ 2; 167/2013, de 9 de septiembre, FJ 2 a); y 125/2014, de 5 de mayo, FJ 1].</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 por don Adolfo Córdoba Vargas.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julio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