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28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17 de julio de 2013 dictada por la Sección Séptima de la Sala Tercera de lo Contencioso-Administrativo del Tribunal Supremo en el recurso de casación núm. 2273-2012 interpuesto contra Sentencia de 30 de abril de 2012 dictada por la Sala de lo Contencioso-Administrativo del Tribunal Superior de Justicia de Asturias en el recurso núm. 474-2010.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28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2273-2012 del que trae causa el presente recurso de amparo núm. 5248-2013.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2273-2012 seguido en la Sección Séptima de la Sala Tercera de lo Contencioso-Administrativo del Tribunal Supremo que dictó la Sentencia de17 de julio de 2013, resolución que ha sido impugnada en el presente recurso de amparo núm. 5248-2013.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5248-2013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