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30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3251-2010, contra la Sentencia dictada por la Sección Tercera de la Sala de lo Contencioso-Administrativo del Tribunal Superior de Justicia de Castilla y León en recurso 2143-2008.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31 de marzo de 2011, resolución impugnada en el presente recurso de amparo número 2741-2011.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31 de marzo de 2011, en el recurso de casación número 3251-2010,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2741-2011,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