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6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antes referido se impugna el Auto de la Sala de lo Contencioso-Administrativo del Tribunal Supremo, de 10 de noviembre de 2011, por el que se inadmitió el recurso de casación núm. 1504-2011, promovido a su vez contra la Sentencia de 19 de enero de 2011, de la Sección Segunda de la Sala de lo Contencioso-Administrativo de la Audiencia Nacional, recaída en el recurso núm. 449-2007.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4 de noviembre de 2014, el Magistrado don Ricardo Enríquez Sancho comunicó a los efectos oportunos que se abstenía de intervenir en el antes indicado recurso de amparo, de conformidad con el art. 80 de la Ley Orgánica del Tribunal Constitucional, por haber formado parte de la Sección Primera de la Sala Tercera del Tribunal Supremo, que dictó el Auto de 10 de noviembre de 2011, resolución impugnada en el presente recurso de amparo número 1713-2012.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Ricardo Enríquez Sancho, Magistrado de esta Sala Segunda del Tribunal Constitucional, la Sala, en virtud de lo previsto en el art. 219.11 de la Ley Orgánica del Poder Judicial, supletoria de la Ley Orgánica del Tribunal Constitucional (art. 80), estima justificada la causa de abstención formulada, puesto que el mencionado Magistrado formó parte de la Sección Primera de la Sala Tercera del Tribunal Supremo, que dictó el Auto de 10 de noviembre de 2011, en el recurso de casación número núm. 1504-2011, que ha sido impugnado en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Ricardo Enríquez Sancho en el recurso de amparo número 1713-2012,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