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1460-2014,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marzo de 2014 tuvo entrada en el Registro General de este Tribunal un oficio de la Sala de lo Social, con sede en Burgos, del Tribunal Superior de Justicia de Castilla y León al que se acompaña, junto con el testimonio del procedimiento ordinario núm. 483-2013, Auto de 6 de febrero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grupo de pensionistas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efectuase sobre la cuantía de la pensión a 1 de enero de 2012, actualizada con la diferencia que resultara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4 de octubre de 2013 estimando la demanda, declarando “el derecho de los demandantes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diferencia entre el 1 por ciento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escrito de alegaciones ante este Tribunal el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2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escrito de alegaciones el 30 de mayo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índice de precios al consumo (IPC) del año en curso, no constituye un derecho consolidado integrado en el patrimonio del pensionista, muy al contrario, constituye, a su juicio, una mera expectativa de derecho y, como mucho, un derecho condicionado a la fijación de su contenido por la Ley de presupuestos generales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11 de junio de 2014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