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3450-2014,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junio de 2014 tuvo entrada en el Registro General de este Tribunal un oficio de la Sala de lo Social, con sede en Burgos, del Tribunal Superior de Justicia de Castilla y León al que se acompaña, junto con el testimonio del procedimiento ordinario núm. 1036-2013, Auto de 25 de marzo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pensionista interpuso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23 de diciembre de 2013 estimando la demanda, declarando “el derecho de la demandante a que se considere como pensión del año 2012 la señalada en el apartado segundo del relato histórico de la presente incrementada en un 2,9 por 100 y que la misma sirva de base para el incremento acordado en el año 2013”, así como “el derecho de los actores a percibir las diferencias correspondientes al año 2012 que son la diferencia entre el 1 por ciento aplicado y el 2,9 por ciento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6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6 de marzo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25 de marzo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24 de junio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 de julio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8 de julio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mediante escrito de alegaciones registrado el 2 de julio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CE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9 de julio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de este Tribunal el 14 de julio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15 de julio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por escrito registrado el 23 de julio de 2014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