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6482-2014,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Abogado del Estado, el Letrado de la Administración de la Seguridad Social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octubre de 2014 tuvo entrada en el Registro General de este Tribunal un oficio de la Sala de lo Social, con sede en Burgos, del Tribunal Superior de Justicia de Castilla y León al que se acompaña, junto con el testimonio del procedimiento ordinario núm. 202-2014, Auto de 8 de octubre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pensionista interpuso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Social núm. 1 de Burgos dictó Sentencia el 20 de mayo de 2014 estimando la demanda. Se reconoció al demandante el derecho a que se considerase como pensión del año 2012 la que venía percibiendo incrementada en un 2,9 por 100 y que la misma sirviese de base para el incremento acordado en el año 2013 y 2014, así como el derecho a percibir las diferencias correspondientes al año 2012 (la diferencia entre el 1 por 100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suplicación por el Instituto Nacional de la Sseguridad Social (INSS) contra la mencionada Sentencia, la Sala de lo Social del Tribunal Superior de Justicia de Castilla y León señaló para su deliberación y fallo el día 24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Concluso el procedimiento y dentro del plazo para dictar sentencia el órgano judicial dictó providencia de 24 de septiembre de 2014 por la que acordó oír a las partes y al Ministerio Fiscal para que alegasen sobre la pertinencia de plantear cuestión de inconstitucionalidad en relación con el art. 2.1 del Real Decreto-ley 28/2012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octubre de 2014 la Sala de lo Social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admitir a trámite la cuestión mediante providencia de 2 de diciembre de 2014; deferir a la Sala Primera el conocimiento de esta cuestión;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17 de diciembre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12 de diciembre de 2014 el Letrado de la Administración de la Seguridad Social se persona en nombre del Instituto Nacional de la Seguridad Social y por medio de otrosí solicita que a los efectos de representación y defensa del Instituto Nacional de la Seguridad Social se designe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15 de diciembre de 2014 se acuerda tener por personado y parte al Letrado de la Administración de la Seguridad Social y conforme establece el art. 37.2 LOTC, se le concede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26 de diciembre de 2014 interesa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Administración de la Seguridad Social por escrito registrado el 7 de enero de 2015 interesa también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de la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por escrito registrado el 8 de enero de 2015 interesa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de la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CE,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éste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tres de junio de dos mil quince, se señaló para deliberación y votación de la presente Sentencia el día ocho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6482-2014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