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20 de julio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6203-2013, promovido por doña María del Carmen Mateos Pérez, representada por el Procurador de los Tribunales don Andrés Peralta de la Torre y asistida por el Abogado don Miguel Pérez de Yrigoyen e Yrigoyen, contra el Auto de 20 de septiembre de 2013 del Juzgado de Primera Instancia e Instrucción núm. 5 de Jerez de la Frontera, dictado en procedimiento de ejecución hipotecaria núm. 2135/2009. Ha intervenido el Ministerio Fiscal. Ha comparecido el Banco Popular Español, S.A., representado por la Procuradora de los Tribunales doña María José Bueno Ramírez y asistido por el Abogado don Miguel Sanmartín Fenollera.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23 de octubre de 2013, el Procurador de los Tribunales don Andrés Peralta de la Torre, en nombre y representación de doña María del Carmen Mateos Pérez,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instancias de la entidad Banco Popular, el Juzgado de Primera Instancia e Instrucción núm. 5 de Jerez de la Frontera inició procedimiento de ejecución hipotecaria núm. 2135-2009 por Auto de fecha 7 de octubre de 2009, contra los ejecutados Juan Luis Hurtado Zarzana y la ahora demandante de amparo María del Carmen Mateos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ejecución se interesó como consecuencia del incumplimiento del contrato firmado por ambos demandados, que se encontraban en régimen económico-matrimonial de gananciales, para garantizar la adquisición de la vivienda sita en la calle Oloroso, 18, bajo C, de la barriada de Icovesa de Jerez de la Frontera (Cádiz), que se había otorgado notarialmente el 3 de junio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documento notarial se citaba como domicilio a efectos de notificaciones el anteriormente mencionado de la calle Oloroso.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16 de octubre de 2009, el Servicio común de notificaciones dejó en el buzón del citado domicilio de la calle Oloroso nota de citación para que los ejecutados comparecieran en el Juzgado el 20 de octubre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19 de octubre de 2009 se produjo la notificación personal al entonces marido, Juan Luis Hurtado, del requerimiento de pago y del Auto de despacho de ejecución, con diligencia negativa de notificación a la recurrente en la que se hizo constar textualmente que el marido “confirma que la persona por la que me intereso, arriba referenciada, abandonó el domicilio conyugal en el mes de agosto del presente año. No conociéndose, asimismo, su nueva dirección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solicitud de la parte ejecutante, el Juzgado recabó información domiciliaria de la recurrente en la Tesorería General de la Seguridad Social y en el Instituto Nacional de Estadística, donde figuraba como su domicilio la finca hipotecada.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fecha 10 de marzo de 2010, el Juzgado requirió a la parte ejecutante para que instara lo que a su derecho correspondiera al no haberse agotado los medios de averiguación del domicilio de la codemandada.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16 de marzo de 2010, la parte ejecutante solicitó que se librara oficio a la policía local para la localización de la Srª. Mateos, sin que el Juzgado resolviera sobre dicha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del Secretario de fecha 29 de junio de 2010 se requirió a la parte ejecutante para que instara lo que a su derecho correspondiera, a la vista de lo establecido en el art. 686 de la Ley de enjuiciamiento civil, quien solicitó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8 de noviembre de 2010, se acordó la notificación por edictos a la ejecutada, del Auto de despacho de ejecución y de los requerimientos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15 de febrero de 2011 se acordó la subasta del inmueble hipotecado, fijándola para las 10:30 horas del 6 de abril de 2011, que se intentó notificar a Juan Luis Hurtado Zarzana en la calle Oloroso, constando ausente en horas de reparto, y de nuevo se intenta el 21 de marzo de 2011, resultando asimismo infructuosa, informando al notificante la vecina del piso 2 izquierda que el interesado se había marchado de su vivienda hacía un año. La notificación de la subasta a la recurrente se practicó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subasta del inmueble se llevó a efecto en la fecha señalada del 6 de abril de 2011, no compareciendo ningún postor, por lo que el Banco Popular por escrito de 9 de mayo interesó que se le adjudicara en pago esa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 la tasación de costas el 24 de noviembre de 2011, fue aprobada por decreto del Sr. Secretario judicial de fecha 9 de enero de 2012 y por otro de 3 de abril de 2012 se le adjudicó la vivienda de la calle Oloroso al Banco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intentó la notificación personal del decreto de adjudicación de 3 de abril de 2012 al ejecutado, en rebeldía, pero no a la demandante de amparo, a la que se notificó directamente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fecha 26 de junio de 2013, al practicarse el lanzamiento, la comisión judicial encontró en la vivienda de la calle Oloroso núm. 18, bajo C, de la barriada de Icovesa, en Jerez de la Frontera, a la Sra. Mateos Pérez, quien afirmó que residía en la vivienda con sus hijos y con su madre minusválida e interesaba que se le concediera un plazo para desalojar la vivienda, ante lo cual el Juzgado suspendió la diligencia de lanzamiento, acordando posteriormente concederle un mes de prórroga y fijando como nueva fecha para el lanzamiento el 30 de julio de 2013 a las 10:30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escrito presentado en fecha 19 de julio de 2013, la representación procesal de la demandante de amparo, formuló incidente de nulidad de actuaciones por no haber tenido conocimiento del procedimiento de ejecución hipotecaria, pues en la fecha del emplazamiento existía Sentencia firme de condena del marido por malos tratos, orden de protección y alejamiento, por lo que no tenía su domicilio en el de la finca hipotecada y no tuvo en ningún momento oportunidad de defenderse. Asimismo, aportó certificado de empadronamiento en otro domicilio de Jerez acreditativo de haber residido con sus hijos desde el día 22 de enero de 2010 hasta el día 13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admitirse a trámite el incidente, fue desestimado por Auto de fecha 20 de septiembre de 2013 por no apreciarse defecto procesal alguno en la tramitación del procedimiento. El Juzgado suspendió el lanzamiento por aplicación de la Ley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la parte recurrente aduce que se ha vulnerado el derecho fundamental a la tutela judicial efectiva sin indefensión (art. 24.1 CE) y del derecho a un proceso con todas las garantías y derecho de defensa (art. 24.2 CE), al no haber sido emplazada ni requerida de pago la demandante en su domicilio, alegándose que en las fechas en que se inició el procedimiento de ejecución hipotecaria la demandante había tenido que abandonar el citado domicilio familiar de la calle Oloroso por malos tratos de su ex marido, que fue el único que tuvo conocimiento del procedimiento sin comunicárselo a la recurrente, por lo que solicita que se dicte Sentencia declarando la vulneración de los derechos fundamentales contenidos en los arts. 24.1 y 24.2 CE y, en consecuencia, se anule el Auto de 20 de septiembre de 2013 recurrido, con retroacción de actuaciones al momento del emplazamiento y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en la propia demanda de amparo se solicitó que se dejara en suspenso la ejecución del procedimiento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enero de 2015 la Sección Tercera de la Sala Segunda acordó admitir a trámite la demanda de amparo y, a tenor de lo dispuesto en el art. 51 de la Ley Orgánica del Tribunal Constitucional (LOTC), requerir al Juzgado de Primera Instancia e Instrucción núm. 5 de Jerez para que el plazo de diez días remitiera testimonio del procedimiento hipotecario 2135-2009, interesándose al tiempo que se emplazara a quienes fueron parte en el procedimiento, a excepción de la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de 20 de enero de 2015 se acordó la apertura de la correspondiente pieza separada para la tramitación del incidente de suspensión, concediéndose un plazo común de tres días a la recurrente y al Ministerio Fiscal para que formularan alegaciones sobre el particular, conforme a lo previsto en el art. 56 LOTC. Evacuado dicho trámite, mediante Auto de 2 de marzo de 2015, la Sala Segunda acordó denegar la suspensión solicitada, por estar ya suspendido el lanzamiento en aplicación de la Ley 1/2013, y ordenar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4 de marzo de 2015 del Secretario de Justicia de la Sala Segunda se tuvo por personada y parte a la Procuradora doña María José Bueno Martínez, en nombre y representación del Banco Popular Español, S.A., y se acordó, a tenor de lo dispuesto en el art. 52 LOTC, dar vista de todas las actuaciones del presente recurso de amparo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presentó alegaciones reproduciendo sustancialmente las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Banco Popular Español, S.A., presentó su escrito de alegaciones, en el que solicitó que se inadmita o, subsidiariamente,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causas de inadmisibilidad, opone que en la demanda de amparo la recurrente no absuelve correctamente la carga de justificar la especial trascendencia constitucional del recurso y que, en todo caso, el recurso carece de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alega que no hubo indefensión porque la parte recurrente tuvo pleno conocimiento del proceso, o bien pudo conocer con facilidad, tanto el estado de su préstamo impagado reiteradamente, como el inicio de la ejecución judicial, y que había recibido aviso de su marido sobre este extremo. Asimismo aduce que no notificó cambio de domicilio y que la actuación del Juzgado fue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sus alegaciones interesando el otorgamiento del amparo, con declaración de nulidad del Auto impugnado de fecha 20 de septiembre de 2013, y retroacción de actuaciones al momento inmediatamente anterior al requerimiento de pago a la demandante de amparo, con el fin de que se le comunique el despacho de ejecución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alega que el Juzgado conocía por manifestaciones del propio ex esposo de la Srª. Mateos Pérez con el que había convivido en el domicilio de la calle Oloroso, 18, que ella había abandonado esa vivienda desde el mes de agosto de 2009, lo que se ratificaba en la documentación aportada por la demandante como anexo al escrito planteando el incidente de nulidad de actuaciones. Además, el Juzgado conoció la causa, y grave, por la que la demandante abandonó ese domicilio, que no era otra sino una continuada situación de malos tratos por parte de su ex cónyuge lo que se evidenció en sentencias condenatorias y órdenes de alejamiento. Finalmente, y si bien la demandante recibió una nota manuscrita de su ex marido, ello se produjo en medio de una situación de maltrato e incumpliendo su ex esposo la orden de alejamiento sin más constancia oficial, por lo que no puede considerarse como enervante de la falta de diligencia exigible al órgano judicial acerca de inquirir otros posibles domicilios de la demandante de amparo, citando la STC 136/2014, de 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solicitando la estimación de la demanda de amparo por lesión del derecho a la demandante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julio de 2015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dictado en fecha de 20 de septiembre de 2013 por el Juzgado de Primera Instancia e Instrucción núm. 5 de Jerez de la Frontera, en procedimiento de ejecución hipotecaria que, de una parte, acuerda la suspensión del lanzamiento de la vivienda de la calle Oloroso núm. 18 y, de otra, deniega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imputa a la resolución recurrida la vulneración del derecho fundamental a la tutela judicial efectiva sin indefensión (art. 24.1 CE) y el del derecho a un proceso con todas las garantías (art. 24.2 CE), al haberse practicado el emplazamiento edictal sin haber agotado las posibilidades de comunicación, alegando que la parte demandante estaba ausente del domicilio designado para notificaciones como consecuencia de los malos tratos que padecía por su ex marido, del que se divorció por Sentencia de 16 de febrero de 2010, dictada por el Juzgado de Violencia sobre la mujer núm. 1 de Jerez de la Frontera y quien nunca le comunicó nada sobre el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que concurre la vulneración denunciada, en tanto que la representación del Banco Popular se opone al recurso, alegando, con carácter previo, la inadmisibilidad por falta de justificación y por inexistencia de la especial trascendencia constitucional [arts. 49.1 y 50 de la Ley Orgánica del Tribunal Constitucional(LOTC)].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analizar en primer lugar los óbices procesales aducidos por la representación procesal del Banco Popular relativos a la falta de justificación e inexistencia de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venido distinguiendo entre la justificación de la especial trascendencia constitucional, y la existencia misma de la especial trascendencia constitucional, que es una apreciación que corresponde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primero de los requisitos procesales, hemos indicado que el art. 50.1 a) LOTC establece que la admisión del recurso de amparo exige el cumplimiento de los trámites fijados en los arts. 41 a 46 y 49 LOTC, estableciendo este último precepto en su apartado primero in fine, de forma inequívoca —“[e]n todo caso”—, que la demanda ha de justificar la especial trascendencia constitucional del recurso. Para satisfacer esta exigencia,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demanda razona específicamente sobre la especial trascendencia constitucional del recurso, con cita expresa de la STC 155/2009, de 25 de junio, concretándola en el apartado f), al entender que se produjo una negativa del Juzgado a acatar la doctrina constitucional en materia de emplazamiento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con independencia del acierto que las alegaciones recogidas en la demanda puedan merecer, cabe apreciar un esfuerzo argumental de la parte recurrente destinado a cumplimentar la carga impuesta en el art. 49.1 LOTC, al haberse disociado suficientemente en la demanda de amparo los argumentos destinados a probar la existencia de las lesiones de los derechos fundamentales, de aquellos otros encaminados a justificar la especial trascendencia constitucional del recurso en términos que coinciden con los criterios que tenemos asentados en nuestra doctrina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a la especial trascendencia constitucional de esta demanda de amparo, hemos declarado, entre otras muchas, en la STC 127/2013, de 3 de junio, FJ 2, que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(entre otras, STC 95/2010,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considera que el presente recurso de amparo plantea una faceta nueva en materia de emplazamiento, puesto que sobre la norma procesal se produce una interferencia derivada de la existencia de una conducta de violencia de género, problema éste de innegable repercusión social, lo cual justifica la admisión del recurso al encajar en el apartado b) del fundamento jurídico 2 de la STC 155/2009, de 25 de junio, por lo que los óbices opuestos deben ser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declarado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y en este sentido es reiterada la doctrina constitucional sobre la importancia de los actos de comunicación para la efectividad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se resume en la STC 122/2013, de 18 de junio, FJ 3, al afirmarse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Un instrumento capital de esa correcta constitución de la relación jurídico procesal, cuya quiebra puede constituir una lesión del derecho a la tutela judicial efectiva (art. 24.1 CE) es, indudablemente, el régimen procesal de emplazamientos, citaciones y notificaciones a las partes de los distintos actos procesales que tienen lugar en el seno de un procedimiento judicial, pues sólo así cabe garantizar los indisponibles principios de contradicción e igualdad de armas entre las partes del litigio. De tal manera que la falta o deficiente realización del emplazamiento a quien ha de ser o puede ser parte en el proceso coloca al interesado en una situación de indefensión, lo que vulnera el referido derecho fundamental (SSTC 219/1999, de 29 de noviembre, FJ 2, y 128/2000, de 16 de mayo, FJ 5). Ello implica que el órgano judicial tiene no sólo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ello, hemos afirmado en la STC 136/2014, de 8 de septiembre, FJ 2, que “cuatro son los presupuestos que venimos analizando para acreditar la vulneración de este derecho fundamental por falta de emplazamiento personal: 1) La titularidad por el demandante de amparo, al tiempo de la iniciación del proceso, de un derecho e interés legítimo y propio, susceptible de afectación por la causa enjuiciada, en las resoluciones judiciales recurridas. La situación de interés legítimo resulta identificable con cualquier ventaja o utilidad jurídica derivada de la reparación pretendida; 2) La posibilidad de identificación del interesado por el órgano jurisdiccional; 3) El cumplimiento por el órgano judicial de su obligación constitucional de velar para que los actos de comunicación procesal alcanzasen eficazmente su fin, lo que significa, entre otras cosas, concebir los emplazamientos edictales como modalidades de comunicación de carácter supletorio y excepcional (STC 126/1999, de 28 de junio) o no presumir sin más que las notificaciones realizadas a través de terceras personas hayan llegado a conocimiento de la parte interesada cuando la misma cuestiona con datos objetivos que así haya sido (STC 113/2001, de 7 de mayo); y 4) Por último, que el recurrente en amparo haya sufrido como consecuencia de la omisión del emplazamiento una situación de indefensión real y efectiva, lo que no se da cuando el interesado tiene conocimiento extraprocesal del asunto y, por su propia falta de diligencia, no se persona en la causa. El conocimiento extraprocesal del litigio ha de verificarse mediante una prueba suficiente, que no excluye las reglas del criterio humano que rigen la prueba de presunciones (por todas, SSTC, 102/2003, de 2 de junio, FJ 2; 102/2004, de 2 de junio, FJ 3; 207/2005, de 18 de junio, FJ 2; 246/2005, de 10 de octubre, FJ 3, y 124/2006, de 24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expuesta al caso enjuiciado ha de conducir a apreciar la existencia de la vulneración del derecho a la tutela judicial efectiva (art. 24.1 CE)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 expresado en los antecedentes, el Juzgado conocía por manifestaciones realizadas por el propio ex esposo de la Srª. Mateos Pérez, al ser emplazado, que la demandante había abandonado esa vivienda desde el mes de agosto de 2009, esto es antes de que se dedujera por el Banco Popular, el día 2 de octubre de 2009, la demanda de ejecución hipotecaria contra ambos esposos.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un principio el Juzgado recabó información, lo cierto es que, ante el resultado infructuoso de los oficios librados a la Tesorería General de la Seguridad Social y al Instituto Nacional de Estadística, el mismo órgano judicial estimó que no se habían agotado los medios de averiguación, por lo que requirió a la parte ejecutante a que instara lo que a su derecho correspondiera, por diligencia de ordenación de fecha 10 de marzo de 2010. En respuesta a este requerimiento, la parte ejecutante solicitó que se oficiara a la Policía Local para la localización del domicilio, petición que no fue resuelta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y sin practicar ninguna otra averiguación, por diligencia de 8 de noviembre de 2010 se acordó la comunicación edictal y no se intentó ninguna otra comunicación personal a la ejecutada en el curso del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 plantearse el incidente de nulidad y por la documentación aportada por la recurrente, el Juzgado conoció la causa, y grave, por la que la Sra. Mateos Pérez abandonó ese domicilio, que no era otra sino una continuada situación de malos tratos por parte de su ex cónyuge Sr. Hurtado Zarzana lo que se evidenció en sentencias condenatorias y órdenes de alejamiento.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ejecutada acreditó que estaba residiendo en otro domicilio de la localidad de Jerez con sus dos hijos, estando empadronada desde enero de 2010, por lo que cabe pensar que se le hubiera podido localizar fácilmente de haberse empleado una mínima diligencia a la hora de realizar la averiguación del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falta de comunicación del proceso a la ejecutada trae causa, en primer lugar, de una falta de diligencia del órgano judicial a la hora de realizar las averiguaciones sobre el domicilio de la demandante, puesto que no agotó los medios de localización, pese a que la parte ejecutante había solicitado expresamente que se oficiara a la Policía local, petición que quedó sin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antes expuesto determinaría la estimación del presente recurso de amparo sin más que aplicar nuestra doctrina repetidamente establecida en materia de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 que justificó la admisión del presente recurso de amparo por su especial trascendencia constitucional era la conveniencia de adecuar nuestra doctrina a los casos en que el desconocimiento del domicilio de la ejecutada responde a la necesidad de eludir una situación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este respecto hemos de declarar que, con independencia de que el Juez haya agotado todas las posibilidades de investigación del domicilio de la ejecutada, cuando ésta comparezca en el procedimiento e interponga incidente de nulidad de actuaciones en el que ponga de manifiesto que el desconocimiento de un domicilio, a efecto de llevar a cabo en él las correspondientes notificaciones, se debió a la situación de violencia de género que estaba padeciendo, dicha circunstancia debe ser objeto de una especial ponderación por el juez, valorando, en cada caso, la necesidad de salvaguardar el deber de confidencialidad debido a la situación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tales criterios a la cuestión examinada permite concluir reconociendo que, en este caso, no se protegió eficazmente a la ejecutada, víctima de malos tratos, pues si bien cabe argüir que el Juzgado no conoció la situación de violencia en el momento del emplazamiento, lo cierto es que tal situación fue puesta de manifiesto en el incidente de nulidad de actuaciones sin que fuera debidamente ponderada por el órgano jurisdiccional, lo que resulta a todas luces incompatible con la doctrina de este Tribunal en cuanto a la subsidiariedad de la comunicación edictal en el contexto en que se produce el intento de emplazamiento, por lo que se estima la procedencia del reconocimiento de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precedentes permiten concluir que se ha producido la vulneración del derecho a la tutela judicial efectiva sin indefensión (art. 24.1 CE) que se denuncia en la demanda, por lo que, de conformidad con lo dispuesto en el art. 55.1 LOTC, procede otorgar el amparo que se solicita, declarando la nulidad del Auto impugnado y retrotrayendo las actuaciones al momento anterior al requerimiento de pago a la recurrente, para que se le comunique en legal forma el despacho de ejecución.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María del Carmen Mateos Pérez,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parcial del Auto de 20 de septiembre de 2013 dictado por el Juzgado de Primera Instancia e Instrucción núm. 5 de Jerez de la Frontera, en el pronunciamiento desestimatorio de la solicitud de nulidad de las actuaciones practicadas a partir del requerimiento de pago acordado por Auto de fecha 7 de octubre de 2009 en el procedimiento de ejecución hipotecaria núm. 2135-2009.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requerimiento de pago a la demandada para que se le comunique el despacho de ejecución en legal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