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197</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30 de noviembre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Fuencisla Martínez Mínguez, en nombre y representación de don P. R. R., por escrito de fecha 20 de mayo de 2015, promovió, al amparo del art. 92 de la Ley Orgánica del Tribunal Constitucional (LOTC), incidente de ejecución de la STC 138/2014, de 8 de septiembre, dictada por la Sala Segunda de este Tribunal en el recurso de amparo núm. 5167-2013, por entender que se había producido por parte del órgano judicial la contravención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tiene su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demandante presentó, en fecha 10 de septiembre de 2013, recurso de amparo contra la Sentencia de 13 de febrero de 2012, dictada por el Juzgado de Primera Instancia núm. 3 de Mérida, en los autos de juicio verbal núm. 525-2011, así como contra la Sentencia de 12 de julio de 2012, dictada por la Sección Tercera de la Audiencia Provincial de Badajoz en el recurso de apelación núm. 200-2012, y el Auto de 18 de junio de 2013, dictado por la Sala de lo Civil del Tribunal Supremo, en el recurso de casación núm. 2606-2012, alegando que las citadas resoluciones lesionaron el art. 24.1 CE, en relación con el art. 39 CE y el principio del favor filii, al llevar a cabo una interpretación irracional de los arts. 94 y 160 del Código civil, como consecuencia de reconocer en favor de los abuelos maternos un régimen de comunicación y estancia con sus hijos menores igual al que le correspondería al progenitor no custodio.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recurso de amparo fue resuelto por la STC 138/2014, de 8 de septiembre, que otorgó el amparo por vulneración del derecho a la tutela judicial efectiva (art. 24.1 CE).	El fallo de la Sentencia contiene los siguientes pronunciamientos: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Declarar vulnerado el derecho del recurrente a la tutela judicial efectiva (art. 24.l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Restablecer en su derecho y, a tal fin, declarar la nulidad de la Sentencia de 13 de febrero de 2012, dictada por el Juzgado de Primera Instancia núm. 3 de Mérida en juicio verbal 525-2011, así como de la sentencia de 12 de julio de 2012 dictada por la Sección Tercera de la Audiencia Provincial de Badajoz en recurso de apelación 200-2012 y del Auto de la Sala Primera del Tribunal Supremo de fecha 18 de junio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Retrotraer las actuaciones al momento anterior a haberse dictado la primera de las referidas resoluciones, para que se dicte una nueva resolución judicial respetuosa con el derecho fundamental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Notificada la Sentencia de amparo, el Juzgado de Primera Instancia núm. 3 de Mérida procedió a dictar nueva Sentencia en fecha 22 de diciembre de 2014. En el nuevo fallo se acordó estimar en su totalidad la demanda en su día interpuesta por la representación procesal de doña M. E. A. G. y don I. R. G. contra don P. R. R., reconociendo a los primeros, en su condición de abuelos maternos de los dos hijos menores de edad del demandado, el mismo régimen de visitas y estancia que se había establecido en la anterior Sentencia de fecha 13 de febrero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 escrito de planteamiento del incidente de ejecución, la representación procesal de don P. R. R. denuncia que la nueva Sentencia dictada por el Juzgado de Primera Instancia núm. 3 de Mérida, de fecha 22 de diciembre de 2014, infringió lo decidido en la STC 138/2014. Sostiene dicho escrito que la nueva Sentencia ha reproducido de forma mimética el régimen de visitas y estancia fijado en la Sentencia anulada por este Tribunal. A juicio del recurrente, el Juez a quo llevó a cabo una ponderación meramente formal, vulnerando el mandato contenido en la STC 138/2014 de tomar en cuenta el interés de los menores, sin dar explicación suficiente y sin concretar los elementos del acervo probatorio que determinan la idoneidad desde la perspectiva del interés del menor, según se afirmaba en la Sentencia de este Tribunal. Denuncia, además, que la Juez a quo no tuvo en cuenta el contenido de las actas de exploración de los dos menores que obraban en el expediente ni dice nada al respecto. Además, llama la atención sobre el argumento sostenido en la nueva sentencia, según el cual “el régimen que se estimaba adecuado haya dejado de serlo por haber variado las circunstancias”, a pesar de lo cual, habiendo tenido la Juez a quo la posibilidad de practicar actuaciones con carácter previo al dictado de esta nueva Sentencia, como hubiera sido una nueva exploración de los menores, acaba concluyendo que lo que dispone en su nueva sentencia no es lo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recurrente que si no era adecuado no cabía justificación alguna para su adopción, vulnerándose con ello el mandato constitucional de individualización del interés del menor. Termina afirmando que la nueva sentencia vulnera el art. 39 CE, que reconoce el derecho prioritario y prevalente a tener en cuenta el interés del menor y el derecho a la tutela judicial efectiva (art. 24 CE). La nueva Sentencia, afirma, debe considerarse inmotivada, arbitraria o irrazonable, en la medida en que demuestra una clara resistencia y cuestionamiento hacia la doctrina constitucional, y vuelve a vulnerar el derecho al favor filii, al efectuar una ponderación meramente aparente o formal, haciendo prevalecer el interés de los abuelos respecto de los menores. Suplica que se declare la nulidad de la Sentencia de 22 de diciembre de 2014, dictada por el Juzgado de Primera Instancia núm. 3 de Mérida, y que se adopten “las medidas ejecutivas que fueren procedentes incluso, proponiéndolo al efecto, excluyendo la posibilidad de que se dicte nueva resolución en el proceso seguido ante dicho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Segunda de este Tribunal acordó, por resolución de fecha 21 de mayo de 2015, admitir a trámite el incidente de ejecución y dar traslado al Ministerio Fiscal y al Juzgado de Primera Instancia núm. 3 de Mérida para que efectuasen las alegaciones que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dos escritos del Ministerio Fiscal de 16 y 29 de junio de 2015 en que solicitaba que remitiera copia certificada de la Sentencia de fecha 22 de diciembre de 2014, dictada en los autos de juicio verbal núm. 525-2011, así como certificación de la firmeza o no de la misma, y un escrito del promotor del incidente al que acompañaba copia simple de tal Sentencia, y recabados tales documentos por diligencia de ordenación de 17 de junio 2015, el 9 de julio de 2015 tuvo entrada oficio procedente del Juzgado de Primera Instancia núm. 3 de Mérida al que se acompaña certificación de la Sentencia con expresión de que no es firme al haberse interpuesto recurso de apelación, así como diligencia de ordenación del Secretario Judicial de dicho Juzgado en la que se tiene por interpuesto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30 de julio de 2015, ha informado en el sentido de que procede inadmitir el incidente de ejecución al haberse simultaneado el mismo con el recurso de apelación, lo que viene impuesto por el requisito de la subsidiariedad del recurso de amparo, con cita del ATC 205/2007, de 16 de abril.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De acuerdo con lo expresado en los antecedentes y como destaca el Ministerio Fiscal, el presente incidente de ejecución, promovido al amparo de lo dispuesto en el art. 92 de la Ley Orgánica del Tribunal Constitucional (LOTC), está simultaneándose con la vía judicial ordinaria al no constar finalizado el recurso de apelación interpuesto contra la Sentencia de 22 de diciembre de 2014, dictada por el Juzgado de primera Instancia núm. 3 de Mérida, contra la que se dirige también este incidente. Ello determina que deba inadmitirse el mismo en aplicación de las exigencias de subsidiariedad de la jurisdicción de amparo [art. 44.1 a) LOTC], que impiden un pronunciamiento sobre el fondo en tanto que la misma cuestión que ahora se plantea se encuentra pendiente de decisión en la vía judicial, tal y como resolvió el precedente ATC 205/2007, de 16 de abril.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incidente de ejecución de la STC 138/2014, de 8 de septiembre, dictada en el recurso de amparo núm. 5167-2013, identificado en los antecedentes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