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533-2014, promovido por doña Nerea Mendicute San Miguel, representada por la Procuradora de los Tribunales doña Raquel Cano Cuadrado y asistida por el Letrado don Aitor Canales Santander, contra el Auto de la Sección Tercera de la Audiencia Provincial de Guipúzcoa de 23 de diciembre de 2013, dictado en apelación núm. 3300-2013, por el que se confirma el Auto del Juzgado de Primera Instancia e Instrucción núm. 1 de Éibar, de 12 de noviembre de 2013, que confirmó en reforma el Auto de 17 de octubre de 2013, dictado en las diligencias previas núm. 1060-2013.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enero de 2014, doña Raquel Cano Cuadrado, Procuradora de los Tribunales y de doña Nerea Mendicute San Miguel,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actual demandante de amparo, estando en periodo de gestación, obtiene un diagnóstico de polimalformaciones del feto con hallazgos sugestivos de cromosomopatía, de improbable viabilidad. El 4 de octubre de 2013 acude al Hospital de Mendaro (Guipúzcoa), donde le provocan el aborto. El feto contaba con 22 semanas de gestación y 362 gramos de peso.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ser dada de alta, la demandante solicita los restos humanos con el fin de incinerarlos. Los responsables del centro hospitalario le indican que, conforme a su protocolo interno de 4 de marzo de 1998, revisado el 28 de abril de 2006, para acceder a lo pedido se precisa la correspondiente licencia judicial de enterramiento-incineración. El indicado protocolo ordena una serie de trámites internos para la salida y eliminación de restos humanos que “será distinta según el peso y tiempo de gestación”. Los fetos de más de 500 gramos o tiempo de gestación superior a 180 días se consideran sujetos a la normativa mortuoria por tratarse de “restos humanos de entidad suficiente”. Los de peso y vida fetal inferior “no están sujetos a la normativa mortuoria” por considerarse “restos quirúrgicos”. Conforme al protocolo, la salida de los primeros (“restos humanos de entidad suficiente”) se somete a una serie de trámites, entre ellos, la solicitud del permiso judicial para el enterramiento o incineración. Respecto de la salida de los segundos (“restos quirúrgicos”), el protocolo alivia la tramitación, señalando que no son ya precisos determinados documentos, aunque sí el relativo a “Fetos. Origen y solicitud incineración/enterramiento”, por el que “se ofrecerá a los familiares la posibilidad de que los restos sean inhumados, a cargo del hospital, en el cementerio de Mendaro (fosa común)”. El protocolo prevé la incineración como destino final de estos “restos quirúrgicos”.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7 de octubre de 2013 la demandante presenta un escrito en el Juzgado de Primera Instancia e Instrucción núm. 1 de Éibar, en funciones de guardia, tramitado como diligencias previas penales (núm. 1060-2013), solicitando autorización judicial para “despedirse del feto con su pareja” y para “poder incinerarlo”. Aporta informe médico-forense de la Subdirección de Guipúzcoa del Instituto Vasco de Medicina Legal, que afirma que “lo que se solicita no tiene ningún impedimento médico-legal ni sanitario” y que “según la ley de Policía Sanitaria Mortuoria vigente en la CCAA [sic] del País Vasco, el destino de todo resto humano y/o cadáver debe ser el enterramiento, la incineración o arrojar los restos al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resuelve la petición por Auto de 17 de octubre de 2013, rectificado el 21 de octubre. Declara que en la práctica de la interrupción del embarazo no existe indicio alguno de criminalidad [al haberse cumplido los requisitos del art. 15 b) de la Ley Orgánica 2/2010, de 3 de marzo, de salud sexual y reproductiva de la interrupción voluntaria del embarazo]. Sin embargo, el órgano judicial desestima la solicitud en contra del informe médico-forense de la subdirección de Guipúzcoa del Instituto Vasco de Medicina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da por supuesto que la inscripción del feto en el Registro civil constituye un presupuesto legal para su entrega a los fines de la incineración o enterramiento. Sobre esta base, interpreta la solicitud de entrega del feto para su incineración formulada por la demandante como una solicitud de inscripción en el Registro civil. Pasa después a examinar una serie de disposiciones con el fin de calibrar si impiden la señalada inscripción y, con ello, el posible libramiento del correspondiente permiso judicial de incineración. Así se deduce de la legislación en materia de sanidad mortuoria dictada a efectos de seguridad pública (Reglamento de policía sanitaria mortuoria aprobado por Decreto 2263/1974, de 20 de julio, y Reglamento de sanidad mortuoria del País Vasco aprobado por Decreto 202/2004, de 19 de octubre), el protocolo del hospital de 4 de marzo de 1998, revisado el 28 de abril de 2006, aportado por la Directora coordinadora asistencial del área médica del señalado hospital y el art. 45 de la Ley de 8 de junio de 1957 del Registro civil que establece: “Las personas obligadas a declarar o dar el parte de nacimiento están también obligadas a comunicar en la misma forma el alumbramiento de las criaturas abortivas de más de ciento ochenta días de vida fetal, aproximadamente. En el Registro Civil se llevará un legajo con las declaraciones y partes de estos abortos.”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legislación en materia de sanidad mortuoria, el Juzgado considera que no prohíbe la inscripción de los fetos con menos de 180 días. En cuanto al art. 45 de la Ley del registro civil, el fundamento jurídico primero del Auto entiende que “impone una obligación para inscribir a las criaturas abortivas”, pero, interpretada conforme al contexto y la realidad social (art. 3 del Código civil), “no prohíbe en ningún caso la inscripción” de los fetos que “no alcancen los 180 días”, sin que exista norma legal que exija un peso mínimo. No obstante, el fundamento jurídico segundo afirma: “no puede obviarse la aplicación del art. 45 de la Ley del registro civil, que aun sin entender esta juzgadora por qué se establece el límite de 180 días y no otro, es el que está legalmente previsto para inscribir y obtener la pertinente licencia de enterramiento-incineración solicitada”. Respecto del protocolo hospitalario, el órgano judicial interpreta que impide la inscripción registral al recoger el límite de los 180 días “por analogía” con el art. 45 de la Ley del registro civil. El Auto, tras señalar que el citado protocolo “no es una norma jurídica vinculante en el sentido del art. 1 del Código Civil”, razona que no puede procederse a la inscripción del feto, no sólo porque lo impide el art. 45 de la Ley del registro civil, sino también porque no pueden “obviarse en este caso los protocolos establecidos que aunque no constituyan norma jurídica sino establecen los métodos de actuación para el personal sanitario que han de cumplimentarse o que en todo caso quedan fuera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añade que es “cierto” que “en otra ocasión se ha autorizado dicha inscripción por este juzgado pero en un supuesto sensiblemente distinto al tratarse de aborto espontáneo de 440 gramos de peso y por conflicto con el derecho de libertad religiosa consagrada en el art. 16 de nuestra Norma Fundamental”. Sin embargo, razona, “en el presente caso no existe conflicto entre derechos fundamentales”. Concluye denegando la inscripción “por todo lo expuesto, ponderando todos los intereses en conflicto y la normativa aplicable al caso”, por más que estemos “ante una evidente situación dolorosa de pérdida en el que la solicitante desea incinerar al feto para despedirse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actual demandante de amparo interpone recurso de reforma contra el Auto de 17 de octubre de 2013, solicitando nuevamente la entrega de los restos humanos de su hijo. Razona que a ello conduce la legislación ordinaria [arts. 6 y 52 d) del Reglamento de policía sanitaria mortuoria aprobado por Decreto 2263/1974, art. 5.1 del Reglamento de sanidad mortuoria del País Vasco aprobado por Decreto 202/2004] así como los derechos fundamentales regulados en los arts. 16 y 18.1 CE. Razona igualmente que “siendo que en un caso semejante el juzgado reconoce haber accedido a la entrega del cuerpo en atención a que la madre practicaba la religión musulmana”, que obliga a sepultar los cadáveres en la tierra, excluyendo su incineración, “resultaría totalmente discriminatorio no respetar de igual modo los valores y creencias (religiosas o no), de la Sra. Mendicute”. Invoca también las Sentencias del Tribunal Europeo de Derechos Humanos de 14 de febrero de 2008 en el asunto Hadri-Vionnet c. Suiza (que reconoció la vulneración del derecho a la vida privada y familiar por realizarse el enterramiento del cuerpo del hijo de la recurrente, nacido muerto, sin que ésta hubiera prestado su consentimiento) y de 30 de octubre de 2001 en el caso Pannullo y Forte c. Francia (que calificó de injerencia en la vida privada y familiar de los actores el retraso excesivo de las autoridades en la devolución del cuerpo del hijo tras una autopsia).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1 de Éibar desestima el recurso de reforma. El Auto, de 12 de noviembre de 2013, admite en primer término que “efectivamente esta instructora en funciones de guardia ha concedido en una única ocasión la citada inscripción en el Registro Civil y expedido la licencia de enterramiento” (diligencias previas 916-2013) ante un supuesto de vida fetal inferior a los 180 días. No obstante, afirma, “el supuesto de hecho era diferente” porque “de un lado estábamos ante un aborto espontáneo, de 22 semanas y 440 gramos lo que aproxima en mayor medida tanto al art. 45 de la Ley del Registro Civil como a los límites previstos en el protocolo y de otro lado porque en la propia comparecencia recogida a los padres en el Juzgado de guardia se invoca como motivo el ser musulmanes y el hecho de que esta religión prohíbe la incineración por lo que desean enterrar al feto”. Añade que “en el presente caso nada de esto se ha invocado, ni la solicitante invoca religión católica alguna, ni solicitarlo por motivos religiosos, señala exclusivamente que su pareja se encuentra fuera del país y que desea despedirse del feto junto a él, así como incinerarlo”; “así que no existe conflicto con la libertad religiosa en el sentido en el que se resolvió en el auto de las DP 916/13”; la petición es pues “perfectamente comprensible desde el punto de vista personal y humano, teniendo en cuenta la delicadeza que esta materia precisa, pero no resulta legítima”. Más adelante, tras descartar que el Auto impugnado vulnere el derecho a la intimidad familiar, el Juzgado insiste en que no puede otorgar licencia de enterramiento o incineración sin inscribir previamente al feto en el legajo correspondiente y que tal inscripción sólo está prevista para los fetos de más de 180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inscripción resultaría de previsiones de la Ley del registro civil sobre “defunciones”: los arts. 83 (“En tanto no se practique la inscripción no se expedirá la licencia para el entierro, que tendrá lugar transcurridas al menos veinticuatro horas desde el momento de la muerte”) y 86 (“Será necesaria sentencia firme, expediente gubernativo u orden de la autoridad judicial que instruya las diligencias seguidas por muerte violenta, que afirmen sin duda alguna el fallecimiento, para inscribir éste cuando el cadáver hubiere desaparecido o se hubiere inhumado antes de la inscripción”). También del Decreto de 14 de noviembre de 1958, por el que se aprueba el Reglamento para la aplicación de la Ley del registro civil: arts. 173 (“La declaración y parte expresarán el aborto o, en su caso, el alumbramiento y muerte; contendrán, en cuanto sea posible, las circunstancias exigidas para la inscripción de nacimiento y defunción y, particularmente, el tiempo aproximado de vida fetal y si la muerte de la criatura se produjo antes, al tiempo o después del alumbramiento, indicando, en este último caso, con toda exactitud, las horas del alumbramiento y muerte”) y 174 (“El Encargado, con los requisitos de inscripción, pero en folio suelto, levantará acta de la declaración con referencia precisa al parte o a la información supletoria. Inmediatamente incorporará al Legajo de abortos, con el acta, los documentos relativos al declarado, cuya entrada debe constar, con la propia declaración, en el Libro Diario. Hecha la incorporación, expedirá la licencia de sepultura”).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imposibilidad de inscribir fetos con menos de 180 días y, por ende, de otorgar la oportuna licencia de enterramiento derivaría del art. 45 de la Ley del registro civil, por más que, según se afirma, la obligación registral responda a la finalidad de controlar la legalidad de los abortos que se han producido cuando ha avanzado en determinada medida el periodo de gestación, dejando al margen los supuestos de vida fetal inferior. El Auto trae a colación en este sentido el art. 15 b) de la Ley Orgánica 2/2010, de 3 de marzo, de salud sexual y reproductiva y de la interrupción voluntaria del embarazo, que prevé la posibilidad excepcional de interrumpir el embarazo por causas médicas cuando “no se superen las veintidós semanas de gestación y siempre que exista riesgo de graves anomalías en el feto y así conste en un dictamen emitido con anterioridad a la intervención por dos médicos especialistas distintos del que la practique o dirija”. Según el órgano judicial, este precepto implica que no es necesaria la inscripción cuando el plazo es inferior a 180 días, debiendo tan sólo controlarse aquellos que pudieran ser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Interpuesto recurso de apelación, es desestimado por Auto de 23 de diciembre de 2013 de la Sección Tercera de la Audiencia Provincial de Guipúzcoa. Según el órgano judicial, el art. 45 de la Ley del registro civil, la legislación en materia de policía sanitaria mortuoria, el art. 7 de la Convención sobre los derechos del niño de 20 de noviembre de 1989 (que recoge el derecho del niño a la inscripción “inmediatamente después de su nacimiento”), el art. 15 de la Ley Orgánica 2/2010 y el protocolo hospitalario, interpretados conjuntamente, implican que en este supuesto “no sea preceptiva la inscripción en el Legajo de criaturas abortivas, necesaria para expedir la licencia de enterramiento, ni su tratamiento como resto cadavérico”, sin que puedan atenderse a las resoluciones alegadas del Tribunal Europeo de Derechos Humanos, por referirse a un supuesto fáctico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resoluciones judiciales citadas, al entenderse que lesionan el derecho fundamental a la libertad ideológica, religiosa y de culto (art.16.1 CE), a la igualdad (art. 14 CE) y a la intimidad familiar (art. 18.1 CE)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razona que, según el art. 6 del Reglamento de policía sanitaria mortuoria, el destino final de los restos humanos es necesariamente uno de los tres siguientes: enterramiento en lugar autorizado, incineración o inmersión en alta mar. La legislación en esta materia presupone claramente la posibilidad de entregar cualesquiera restos humanos para su enterramiento o incineración al exigir que todos los cementerios municipales dispongan de un sector destinado a restos procedentes de abortos, intervenciones quirúrgicas y mutilaciones [arts. 52 d) del citado Reglamento y 5.1 del Reglamento de sanidad mortuoria aprobado por Decreto 202/2004, de 19 de octubre]. El Juzgado de Primera Instancia e Instrucción núm. 1 de Éibar lo entendió así en el fundamento jurídico primero de su Auto de 17 de octubre de 2013 al declarar, a la vista de esta normativa, que “no se encuentra prohibición alguna respecto a lo solicitado”. Según la demanda de amparo, esta legislación específica no puede ceder ante la normativa del Registro civil. El art. 1 de la Ley del registro civil se refiere a la inscripción de hechos concernientes a las personas. Los arts. 83 y 86 tampoco hablan de restos humanos; se refieren a defunciones de personas. Sin embargo, las resoluciones judiciales rechazaron la entrega de los restos humanos con vulneración de derechos fundamentales de la demandada a través de “construcciones jurídicas artificiosas”, “una suerte de bricolaje jurídico” armado con resoluciones de la Dirección General de los Registros y del Notariado, protocolos, legislación registral y la referencia “sorprendente” a la Convención sobre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libertad ideológica, religiosa y de culto está reconocido en la Declaración universal de derechos humanos, el Pacto internacional de derechos civiles y políticos, la Constitución española y todas las de nuestra órbita cultural. Según Tribunal Europeo de Derechos Humanos, “la libertad de pensamiento, de conciencia y de religión representa uno de los logros de las sociedades democráticas” (STEDH de 20 de agosto de 1994), “uno de los fundamentos de las sociedades democráticas” (STEDH de 25 de mayo de 1993). La Constitución española le concede un lugar preferente, recogiéndolo en su art. 16, inmediatamente después del derecho a la vida como derecho troncal soporte de todos los demás (STC 53/1985, de 11 de abril). Este fundamental derecho protege las convicciones personales con independencia de su origen ideológico o religioso. Se refiere al conjunto de elaboraciones de la mente, esto es, al conjunto sistemático de representaciones, valores y creencias que refleja la forma en que los miembros de la formación social viven sus condiciones de existencia. Esta libertad se ejerce sin más limitación, en sus manifestaciones, que las necesarias para el mantenimiento del orden público protegido por la ley (STC 46/2001,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virtud del art. 16.1 CE, la demandante de amparo razona que tenía derecho a dar digna sepultura a su creación física y espiritual y a despedirla en compañía de su pareja, en una ceremonia de carácter civil y familiar. Ya el Derecho romano configuró el ius sepulchri, el derecho a enterrar a los fallecidos, como derecho de la persona. Las resoluciones judiciales impugnadas habrían vulnerado el art. 16.1 CE porque la denegación del permiso judicial de incineración carecía de todo fundamento legal, porque los valores y creencias de la demandante no podían merecer menos respeto que aquellos que pudieran adjetivarse como “religiosos” o “confesionales” y porque no había razón alguna de orden público que pudiera justificar la denegación de la entrega solicitada; el destino que la demandante quería dar a los restos humanos era el que indicaba la normativa de policía mortuoria. Se afirma en este sentido que los protocolos son documentos internos que ordenan la actuación de los profesionales sanitarios y enfocan los fetos como meros residuos biológicos, sin tomar en consideración otros intereses, derechos o bienes jurídicos. No son normas, y aunque pueden tener relevancia jurídica, no pueden impedir la realización de los derechos fundamentales, que obviamente son de jerarquía y dimensión mucho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Estaría igualmente concernido el principio de igualdad y la proscripción de discriminación (art. 14 CE). En las diligencias previas 916-2013, el mismo Juzgado accedió a entregar a otra madre los restos humanos de su hijo, también de 22 de semanas. En el presente caso, el Juzgado reconoció que en esa ocasión accedió a la entrega en atención a la religión de la solicitante (musulmana), el tipo de aborto (espontáneo) y el peso de los restos biológicos (mayor que en el presente caso). Ello supone una “discriminación intolerable por arbitraria”. Resulta totalmente discriminatorio que no se respetaran de igual modo los valores y creencias de la demandante de amparo: “no se acierta a comprender por qué el hecho de ser musulmana es considerado como más digno de protección que la espiritualidad o concepción del mundo (ideología) que no está adscrita a una confesión o religión determinada”. Ambas madres tenían los mismos derechos fundamentales sin que en ninguno de los dos casos se hubieran superado los 180 días de vida fetal a que hace referencia el art. 45 de la Ley del registro civil. Razona en este orden de ideas que no se puede resolver un conflicto de derechos fundamentales en función del peso de los restos humanos ni en relación con la causa que motivó la interrupción del embarazo, que se efectuó legalmente por motivos puramente médicos y con gran pesar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razona igualmente la lesión del derecho a la intimidad familiar (art. 18.1 CE) a través de la STEDH de 14 de febrero de 2008 (asunto Hadri-Vionnet c. Suiza), que apreció violación del artículo 8 (derecho al respeto de la vida privada y familiar) del Convenio europeo para la protección de los derechos humanos y de las libertades fundamentales (CEDH) por haberse privado a la madre del derecho a estar presente en el traslado y entierro de su hijo nacido muerto en un parto prematuro. Al desestimar el recurso de apelación, la Audiencia Provincial se habría desvinculado de esta jurisprudencia sin razón, limitándose a declarar que “lo prevenido en dicha resolución no resulta aplicable al referirse a un supuesto distinto y diferenciado del presente, ya que se ha producido el nacimiento y los restos tienen la consideración de cadáver a los efectos, tanto de inscripción como de enterramiento, lo que no se produce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febrero de 2015, la Sala Primera de este Tribunal acuerda admitir a trámite la demanda de amparo, apreciando que ofrece especial trascendencia constitucional [art. 50.1 de la Ley Orgánica del Tribunal Constitucional (LOTC)] porque plantea un problema o afecta a una faceta del derecho fundamental sobre el que no hay doctrina constitucional [STC 155/2009, FJ 2 a)]. En aplicación de lo dispuesto por el art. 51 LOTC, la providencia dirige atenta comunicación a la Sección Tercera de la Audiencia Provincial de Guipúzcoa y al Juzgado de Primera Instancia e Instrucción núm. 1 de Éibar a fin de que en menos de diez días remitan certificación o fotocopia adverada de las actuaciones correspondientes al recurso de apelación núm. 3300-2013 y a las diligencias previas núm. 1060-2013, respectivamente. Acuerda igualmente emplazar a quienes hubieran sido parte en el procedimiento, excepto la recurrente en amparo, para que en el plazo de diez días comparezcan, si lo desean.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 este Tribunal Constitucional, mediante diligencia de ordenación de 26 de marzo de 2015, acuerda dar vista de las actuaciones recibidas al Ministerio Fiscal y a la Procuradora de la demandante de amparo, por plazo común de veinte días, conforme establece el art. 52.1 LOTC, para que puedan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el referido trámite, la recurrente en amparo presenta el 22 de abril de 2015 escrito, ratificando íntegramente la demanda e invocando el art. 10.2 CE, que establece que las normas relativas a los derechos fundamentales y a las libertades han de interpretarse a la luz de los tratados internacionales suscritos. Cita igualmente el art. 29.2 de la Declaración universal de derechos humanos, que garantiza que, en el ejercicio de sus derechos, toda persona estará sujeta nada más que a las limitaciones establecidas por la ley con el único fin de asegurar el reconocimiento y el respeto de los derechos y libertades de los demás y de satisfacer las justas exigencias de la moral, del orden público y del bienestar general en una sociedad democrática. También el art. 30 del mismo texto internacional conforme al que nada en la presente declaración puede interpretarse en el sentido de que confiere derecho alguno al Estado a realizar actos tendentes a la supresión de cualquiera de los derechos y libertades proclamados. Asimismo, critica que las resoluciones judiciales impugnadas hayan delimitado la dignidad humana en términos de peso y días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8 de mayo de 2015, interesa la estimación del recurso de amparo. Analiza en primer término la denuncia de lesión del art. 14 CE. Considera que la demanda materializa la denuncia de desigualdad en la aplicación de la ley, al haber resuelto el Juez de instrucción de forma diversa un asunto semejante sin que la Audiencia Provincial haya reparado la desigualdad de tratamiento. El Fiscal aborda esta queja desde dos puntos de vista: entendida como lesión autónoma del derecho fundamental y como vulneración interrelacionada con la de los arts. 16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requisitos necesarios para declarar la vulneración del derecho de igualdad (acreditación de un término de comparación, identidad del órgano judicial, existencia de alteridad de los supuestos contrastados y, en fin, ausencia de toda motivación que justifique el cambio), considera el Fiscal que las resoluciones judiciales justifican y razonan el cambio de criterio; no se había invocado en este caso la libertad religiosa, sino la libertad ideológica o proyección espiritual de la persona. Desde esta perspectiva, no se habría lesionado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diferente conclusión se llega desde el otro punto de vista, a partir de la apreciación de la lesión del art. 14 CE en relación con la de los arts. 16.1 y 18.1 CE. Es lo que, a juicio del Fiscal, sugiere la demanda de amparo cuando concluye que la denegación de lo solicitado quebranta la libertad ideológica, religiosa y de culto, en relación con el derecho a la intimidad familiar, con la consecuencia de discriminar “por razones de gramos de religión”. El escrito del Fiscal considera que la base del recurso es la vulneración del derecho a la libertad ideológica (art. 16.1 CE), porque lo que se denuncia es que las resoluciones judiciales han provocado el cercenamiento de la dimensión espiritual de la persona y de su capacidad de conducirse conforme a determinadas ideas, lo cual, por derivar precisamente de un proceso interno de convicción, afecta al mismo tiempo al derecho a la intimidad personal del art. 18.1 CE; como argumento de autoridad, se habría alegado la resolución contradictoria dictada en un caso igual o similar por la misma Juez, que es lo que abonaría la tesis de lesión del derecho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escrito del Fiscal aludiendo al contenido del derecho fundamental del art. 16.1 CE, como manifestación concreta de la libertad abstracta y genérica a que se refiere el art. 1.1 CE cuando enumera los valores superiores del ordenamiento jurídico español. Recuerda su trascendencia objetiva, que impone la neutralidad ideológica de los poderes públicos y, por tanto, la renuncia del ordenamiento jurídico a cualquier valoración de las variadas expresiones ideológicas de los ciudadanos (lo que no significa que el propio ordenamiento constitucional no se inspire y acoja determinados valores superiores como son la libertad, la justicia, la igualdad y el pluralismo político). Ello supone una garantía que protege al sujeto frente a posibles perturbaciones de los poderes públicos y de terceros, así como la salvaguarda para la libre manifestación de la particular opción ideológica. El derecho a la libertad ideológica no se agota en una dimensión interna a la hora de adoptar una determinada posición intelectual ante la vida; alcanza igualmente a una dimensión que permite a los ciudadanos exteriorizar ese claustro íntimo con arreglo a sus propias convicciones, manteniéndolas frente a terceros, lo que supone que tal actuar no puede llevar aparejado sanción o demérito. Esa libertad no puede tener más limitación que la necesaria para el mantenimiento del orden público protegido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Fiscal ilustra esta conclusión con cita de jurisprudencia del Tribunal Supremo y del Tribunal Constitucional, tanto en cuanto la dimensión externa del derecho fundamental como en cuanto a los límites que se pueden imponer por los poderes públicos. Asimismo, se citan precedentes del Tribunal Europeo de Derechos Humanos en casos similares al presente, aunque se reconoce que éste no ha enfocado la cuestión desde la óptica del art. 9.2 CEDH (derecho a libertad de pensamiento, de conciencia o de religión), sino como manifestación del derecho a la vida privada y familiar del art. 8 CEDH. Las SSTEDH 16 de enero de 2014 (caso Abdulayeva c. Rusia); 17 de enero de 2006 (caso Ellipoluhas Dödsbo c. Suecia); 14 de febrero de 2008 (caso Hadri-Vionnet c. Suiza) reconocieron como injerencia en la vida privada y familiar la excesiva demora en la restitución del cuerpo de un hijo después de una autopsia o de la terminación de las actuaciones penales así como la negativa a entregar una urna que contiene las cenizas del marido o que la demandante estuviera presente en el entierro de su hijo, que nació muerto tras treinta y seis semanas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caso, aunque existen similitudes en sus ámbitos de protección, entiende el informe del Fiscal que la demanda de amparo se ciñe en exclusiva al derecho a la libertad ideológica y no al derecho a libertad de culto, toda vez que la actora en ningún momento ha llegado invocar creencias religiosas como fundamento de su solicitud; es esa circunstancia la que justificaría la diferencia de tratamiento por parte de los órganos judiciales, como si la libertad religiosa mereciera protección constitucional más profunda que la libertad ideológica. El tratamiento de ambas libertades desde la óptica constitucional debería ser idéntico. En el caso presente la pretensión se funda en una construcción ideológica de la actora que se vincula con un valor trascendente como es la vida, que para la actora existe desde el momento en que dota de sentido filosófico espiritual al hecho de haber gestado un ser al que no deja de reconocer dicha trascendentalidad.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punto de vista, atendiendo a la doctrina constitucional sobre la libertad ideológica, concluye el Fiscal que, considerando que las leyes aplicables no prohíben la posibilidad de inscripción de criaturas abortivas ni su enterramiento, sino que tan sólo imponen un deber de inscripción cuando el feto alcanza un determinado grado de desarrollo, la actuación de los órganos judiciales ha sido lesiva del derecho fundamental, al no existir interés público o constitucionalmente relevante afectado por la inscripción en el Registro civil del alumbramiento de la criatura abortiva. En consecuencia, se interesa el otorgamiento del amparo con reconocimiento del derecho fundamental de la actora a la libertad ideológica (art. 16.1 CE) en relación con los derechos de intimidad personal y familiar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enero de 2016 se señaló para deliberación y votación de la presente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impugna el Auto del Juzgado de Primera Instancia e Instrucción núm. 1 de Éibar —que denegó la licencia de incineración de los restos resultantes del aborto padecido por la actora— y los Autos que lo confirman, del propio Juzgado y de la Audiencia Provincial de Guipúzcoa, por vulneración de los derechos fundamentales a la libertad ideológica (art. 16.1 CE), a la intimidad familiar (art. 18.1 CE) y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recurso, la denegación del permiso que la actora solicitó para incinerar y despedir a su hijo no nato en compañía de su pareja en una ceremonia de carácter civil y familiar y darle digna sepultura habría vulnerado el art. 16.1 CE por carecer de todo fundamento legal. Los valores y creencias de la demandante no podían merecer menos respeto que aquellos que pudieran adjetivarse como “religiosos” o “confesionales” y porque no había razón alguna de orden público que pudiera justificar la denegación de la entrega solicitada. El destino final que la demandante quería dar a los restos humanos de su hijo era, precisamente, el indicado por la normativa de policía mortuoria. Estaría igualmente concernido el principio de igualdad y la proscripción de discriminación (art. 14 CE) porque en un asunto anterior, el mismo Juzgado accedió entregar a otra madre los restos humanos de su hijo, también de 22 de semanas, atendiendo a la religión de la solicitante (musulmana), el tipo de aborto (espontáneo) y el peso del feto (mayor que en el presente caso), lo que resultaría “totalmente discriminatorio”. La demanda razona igualmente la lesión del derecho a la intimidad familiar (art. 18.1 CE) a través de la STEDH de 14 de febrero de 2008 (Asunto Hadri-Vionnet c. Suiza), que apreció violación del artículo 8 (derecho al respeto de la vida privada y familiar) del Convenio europeo para la protección de los derechos humanos y de las libertades fundamentales (CEDH) por haberse lesionado el derecho de la madre a estar presente en el traslado y entierro de su hijo nacido muerto en un parto prematuro.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que queda al margen de este proceso constitucional la decisión de la Administración sanitaria de rechazar la solicitud formulada por la demandante de amparo —la entrega del cuerpo de su hijo no nato para poder incinerarlo y despedirse de él—, basada en la consideración de que era precisa una autorización judicial. El recurso de amparo no se dirige contra ella sin que, por tanto, nos corresponda valorar si la Administración vulneró algún derecho fundamental al rechazar la entrega. La demandante impugna sólo el Auto de 17 de octubre de 2013 del Juzgado de Primera Instancia e Instrucción núm. 1 de Éibar, por denegar la licencia de incineración con vulneración de sus derechos a la libertad ideológica (art. 16.1 CE), a la intimidad familiar (art. 18.1 CE) y a la igualdad (art. 14 CE), así como los Autos posteriores resolutorios de los recursos de reforma y apelación, por no reparar la indicada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en los términos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hay precedente de sentencia constitucional sobre casos análogos. El Tribunal Europeo de Derechos Humanos sí ha resuelto asuntos similares en un sentido favorable al reconocimiento del derecho a disponer de los restos humanos para su enterramiento como contenido del derecho al respeto de la vida privada y familiar (art. 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Tribunal ha considerado contraria al Convenio europeo para la protección de los derechos humanos y de las libertades fundamentales la decisión de las autoridades rusas de no entregar, para su enterramiento, los cadáveres de los fallecidos en una operación antiterrorista. Tal decisión se amparaba en la legislación estatal aplicable, pero se adoptó sin hacer una evaluación individual de las circunstancias que, en cada caso, justificaban la negativa —asuntos Sabanchiyeva y otros c. Rusia (núm. 38450-2005, STEDH de 6 de junio de 2013), Maskhadova y Otros c. Rusia (núm. 8071-2005, STEDH también de 6 de junio de 2013) y Abdulayeva c. Rusia (núm. 8552-2005, STEDH de 16 de enero de 2014). En alguno de estos casos se invocó concurrentemente la lesión del derecho a la libertad de pensamiento y de conciencia (art. 9 CEDH) —equivalente al establecido en el art. 16.1 CE—, si bien el Tribunal Europeo de Derechos Humanos no halló razones para hacer un examen separado de ambas lesiones (Abdulayeva c. Rusia, § 60; Sabanchiyeva y otros c. Rusia, §§ 157 y 158; y Maskhadova y otros c. Rusia, §§ 248 y 249).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enjuiciado asimismo el excesivo retraso en la restitución a los miembros sobrevivientes del cuerpo de un familiar tras la práctica de la autopsia y recogida de muestras corporales en una investigación criminal —entre otros, en los asuntos Girard c. Francia (núm. 22590-2004, STEDH de 30 de junio de 2011) y Pannullo y Forte c. Francia (núm. 37794-1997, STEDH de 30 de enero de 2002)– o el rechazo a entregar a la esposa la urna con las cenizas de su esposo –asunto Elli Poluhas Dödsbo c. Suecia (núm. 61564-2000, STEDH de 17 de enero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asunto Hadri-Vionnet c. Suiza (núm. 55525-2000, STEDH de 14 de febrero de 2008) reviste singular relieve a los efectos del presente proceso constitucional. Tras un parto prematuro, los médicos certificaron que el hijo de la demandante nació muerto, procediéndose al enterramiento en una fosa común sin celebración de ceremonia funeraria alguna. Según la demanda, los padres tenían derechos sobre los restos mortales de sus hijos que fueron vulnerados, en particular, el derecho a decidir el lugar, la hora y las modalidades de inhumación. EL Tribunal Europeo de Derechos Humanos consideró que el art. 8 CEDH resulta aplicable para determinar “si asistía a la demandante el derecho de asistir al enterramiento de su hijo eventualmente acompañado de una ceremonia así como a ver que los restos eran transportados en un vehículo apropiado” (§ 52). A tal efecto, afirma, hay que examinar “si la injerencia estaba ‘prevista por la ley’”, si era “necesaria en una sociedad democrática” y si respondía a “objetivos legítimos” (párrafo 58). En aplicación de esta doctrina, el Tribunal resolvió que las autoridades suizas vulneraron el art. 8 CEDH porque interfirieron en el derecho a la vida privada y familiar de la demandante sin base legal suficiente en el Derecho suizo (§§ 53-62).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Marić c. Croacia (núm. 50132-2012), resuelto por la STEDH de 12 de junio de 2014, tras un periodo de gestación de nueve meses, médicos de un hospital público asistieron un parto con complicaciones. Como consecuencia de tales complicaciones nació muerto el hijo del demandante y su esposa, quienes optaron por no hacerse cargo de los restos, consintiendo que lo hiciera el hospital. Después solicitaron sin éxito información sobre el lugar del enterramiento. En su demanda, el recurrente razona que las autoridades croatas vulneraron el art. 8 CEDH por privarle de aquella información y que tal vulneración trae causa de que el cuerpo de su hijo no nato fue desechado indebidamente. El Tribunal identifica como “cuestión central” valorar si el hospital estaba autorizado a deshacerse del cuerpo tratándolo como residuo clínico, sin dejar rastro de su paradero (§ 62). Señala que la circunstancia de que el demandante consintiera verbalmente que el hospital se hiciera cargo del enterramiento no significa que aceptara tácitamente que el cuerpo del niño se desechara sin dejar rastro de su paradero, máxime cuando la legislación interna dispone que los cementerios deben llevar un libro de registros de todos los entierros con indicación del lugar en el que se producen (§ 64). Tras citar el asunto Hadrid-Vionnet, declara que debe examinarse en primer lugar si existía una base legal suficiente (§ 67). Observa a este respecto que el Gobierno croata no ha citado legislación aplicable alguna y que, en cualquier caso, entre los “residuos clínicos” cuya eliminación regulan las instrucciones del Ministerio de Sanidad están sólo los fetos de menos de 22 semanas de edad, que claramente no era el caso del hijo nacido muerto del demandante (§§ 68-69). Concluye: “el Tribunal encuentra que la injerencia en el derecho del demandante garantizado por el artículo 8 del Convenio no era conforme a la ley, como requiere esta disposición, por lo que se hace innecesario examinar si la injerencia perseguía un ‘legítimo objetivo’ y si era ‘necesaria para una sociedad democrática’” (§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 doctrina del Tribunal Europeo de Derechos Humanos, que es criterio de interpretación de las normas constitucionales relativas a las libertades y derechos fundamentales (art. 10.2 CE), cabe afirmar que la pretensión de la demandante que da origen a las resoluciones impugnadas se incardina en el ámbito del derecho a la intimidad personal y familiar reconocido en el art. 18.1 CE. Ahora bien, como todo derecho fundamental, también éste admite restricciones que respondan a “un fin constitucionalmente legítimo” y que sean necesarias y adecuadas “para alcanzar dicho objetivo” (por todas, SSTC 62/1982, de 15 de octubre, FFJJ 3, 4 y 5; 175/1997, de 27 de octubre, FJ 4; 49/1999, de 5 de abril, FJ 7, y 64/2001,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se resume en la necesidad de constatar el cumplimiento de cuatro requisitos o condiciones que, según reiterada doctrina, se erigen en canon de control para estos casos: si la medida restrictiva disponía de la correspondiente cobertura legal; si era susceptible de conseguir el objetivo propuesto —es decir, si es idónea o conducente para cumplir los fines pretendidos—; si era necesaria en el sentido de que no existía otra medida más moderada para la consecución de tal propósito con igual eficacia y, finalmente, si era proporcionada en sentido estricto, es decir, ponderada o equilibrada “por derivarse de ella más beneficios o ventajas para el interés general que perjuicios sobre otros bienes o valores en conflicto” (STC 66/1995, de 8 de mayo, FJ 5; en el mismo sentido, p.ej., las SSTC 206/2007, de 24 de septiembre, FJ 6; 159/2009, de 29 de junio, FJ 3, o 60/2010, de 7 de octubre, FJ 9, 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Hay que empezar por reconocer que los órganos judiciales tropezaban con la dificultad de la falta de una regulación clara en esta materia; no contaban con previsiones específicas que determinaran si puede la Administración hospitalaria entregar por sí los restos humanos sin necesidad de autorización judicial o, en la hipótesis de que sea necesario el permiso judicial de incineración, si éste presupone o no la inscripción en el legajo de criaturas abortivas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interpretación de que el permiso judicial es preceptivo y de que su obtención presupone la inscripción registral, los Autos impugnados han justificado la imposibilidad de practicar esa inscripción (y, por ende, la de acceder a lo solicitado) en el art. 45 de la Ley del registro civil: “Las personas obligadas a declarar o dar el parte de nacimiento están también obligadas a comunicar en la misma forma el alumbramiento de las criaturas abortivas de más de ciento ochenta días de vida fetal, aproximadamente”. Tanto el Juzgado como la Audiencia Provincial han derivado de la obligación de inscribir criaturas abortivas de más de 180 días, la prohibición de inscribir las de menor tiempo, aunque ello suponga que los padres no puedan asistir a la incineración de su hijo no nato en una ceremonia funeraria íntima 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la imposición de un deber de inscripción a partir de un determinado tiempo de gestación no cabe deducir extensivamente la prohibición de entrega para su enterramiento o incineración de criaturas abortivas de menor tiempo: la norma no somete el enterramiento o incineración a las exigencias de permiso judicial e inscripción registral ni impide por sí la anotación de criaturas abortivas de menos de 180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Téngase en cuenta que el propio órgano judicial reconoce haber realizado la inscripción y concedido la licencia judicial de enterramiento en otro caso en que tampoco se alcanzaban los 180 días de vida fetal. El Auto de 17 de octubre de 2013 afirma expresamente en su fundamento jurídico primero que no existe aquella prohibición legal de inscripción de criaturas abortivas de menos de 180 días. Sin embargo, en el fundamento jurídico siguiente, suscribe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concluir que las resoluciones judiciales impugnadas han restringido el derecho a que la vida personal y familiar sea respetada (art. 18.1 CE) sin esgrimir una norma verdaderamente habilitante y, por tanto, sin la suficiente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cualquier caso, de las actuaciones no resulta impedimento alguno de orden público general o sanitario que pudiera justificar la injerencia en el derecho de la demandante a decidir sobre el enterramiento o incineración de su criatura abortiva ex art. 18.1 CE. Antes bien, de ellas se desprende la radical ausencia de riesgos para los bienes jurídicos protegidos a través de la regulación de la interrupción voluntaria del embarazo, por un lado, y de la policía sanitaria mortuoria,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el diagnóstico de polimalformaciones del feto con improbable viabilidad, se practicó la interrupción del embarazo conforme al art. 15 b) de la Ley Orgánica 2/2010, que prevé la posibilidad de interrumpir el embarazo por causas médicas cuando “no se superen las veintidós semanas de gestación y siempre que exista riesgo de graves anomalías en el feto y así conste en un dictamen emitido con anterioridad a la intervención por dos médicos especialistas distintos del que la practique o dirija”. El propio Juzgado afirmó la ausencia de indicio alguno de criminalidad.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 las actuaciones se deriva igualmente la inexistencia de riesgos para la salud pública: constaba incluso un informe médico-forense de la Subdirección de Guipúzcoa del Instituto Vasco de Medicina Legal según el cual “lo que se solicita no tiene ningún impedimento médico-legal ni sanitario” y que “según la ley de Policía Sanitaria Mortuoria vigente en la CCAA [sic] del País Vasco, el destino de todo resto humano y/o cadáver debe ser el enterramiento, la incineración o arrojar los restos al mar”. El propio Juzgado parte de la ausencia de riesgos sanitarios o de otro tipo cuando, sin discutir las conclusiones de aquel informe y admitiendo que la legislación sobre policía sanitaria mortuoria no impediría la entrega, concluye que es una condición legal a la que se siente vinculado, pero que no comparte, lo que conduce a la postre a la denegación. Afirma, literalmente, que “no puede obviarse la aplicación del art. 45 de la Ley del registro civil, que aun sin entender esta juzgadora por qué se establece el límite de 180 días y no otro, es el que está legalmente previsto para inscribir y obtener la pertinente licencia de enterramiento-incineración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legislación sobre traslado y tratamiento de cadáveres y restos quirúrgicos manejada por las resoluciones judiciales confirma esta conclusión. El art. 6 del Decreto 2263/1974, de 20 de julio, por el que se aprueba el Reglamento de policía sanitaria mortuoria, dispone, sin perjuicio de lo establecido por la legislación especial vigente sobre obtención de piezas anatómicas para trasplante y utilización de cadáveres para fines científicos y de enseñanza, que el destino final de todo cadáver será uno de los tres siguientes: enterramiento en lugar autorizado, incineración o inmersión en alta mar. Esta disposición resulta aplicable a “los restos humanos de entidad suficiente procedentes de abortos, mutilaciones y operaciones quirúrgicas, sin otro requisito, en el orden sanitario, que el certificado facultativo en que se acredite la causa y procedencia de tales restos”. En esta línea, el Decreto 202/2004, de 19 de octubre, por el que se aprueba el Reglamento de sanidad mortuoria de la Comunidad Autónoma del País Vasco (donde ocurrieron los hechos) —aplicable, según su art. 2, a “toda clase de prácticas sanitarias sobre cadáveres, restos cadavéricos y restos humanos de entidad suficiente, incluyendo los aspectos relativos a su transporte” (noción en la que se incluyen los procedentes de los abortos con entidad suficiente, según su art. 3)—, contempla también el enterramiento o la cremación como destino de los cadáveres y restos humanos que no presenten riesgo sanitario (art. 5.1). Es decir, esta normativa, para proteger la salud pública, no sólo no prohíbe la incineración o enterramiento, sino que la establece como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las resoluciones impugnadas han vulnerado el derecho fundamental a la intimidad personal y familiar (art. 18.1 CE) de la actora, por no esgrimir normas que pudieran dar cobertura jurídica suficiente a su decisión e imponer un sacrificio desproporcionado, sin que se vislumbren bienes constitucionales cuya preservación justifique la denegación del permiso de incineración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 este motivo de amparo hace innecesario que nos pronunciemos sobre la pretendida vulneración de los derechos a la libertad ideológica (art. 16.1 CE) y a la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Nerea Mendicute San Miguel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intimidad personal y familiar (art.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anular el Auto del Juzgado de Primera Instancia e Instrucción núm. 1 de Éibar de 17 de octubre de 2013, el Auto del mismo órgano judicial de 12 de noviembre de 2013, que resolvió el recurso de reforma interpuesto contra la resolución anterior, y el Auto de la Audiencia Provincial de Guipúzcoa, Sección Tercera, núm. 295-2013, de 23 de diciembre de 2013, dictado en rollo de apelación núm. 3300-2013.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Francisco Pérez de los Cobos Orihuel, a la Sentencia dictada por la Sala Primera resolviendo el recurso de amparo núm. 533-2014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al parecer mayoritario de la Sala, en uso de la facultad que me atribuye el art. 90.2 de la Ley Orgánica del Tribunal Constitucional, me siento en la obligación de manifestar a través de este Voto particular mi discrepancia con el fallo y la fundamentación jurídica de la Sentencia que ha estimado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principal motivo de mi desacuerdo radica en que, a mi entender, la pretensión de la demandante de obtener autorización para incinerar los restos resultantes del aborto padecido no puede ser reconducida al contenido protegido por el derecho a la intimidad personal y familiar reconocido en el art. 18.1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el derecho a la intimidad proclamado en el art. 18.1 de nuestro texto constitucional se incluye “dentro del más genérico derecho ‘al respeto de la vida privada y familiar’” proclamado en el art. 8.1 del Convenio europeo para la protección de los derechos humanos y de las libertades fundamentales (SSTC 207/1996, de 16 de diciembre, FJ 4; 233/2005, de 26 de septiembre, FJ 6). Ahora bien, precisamente por la mayor amplitud de este último, los respectivos ámbitos de protección de uno y otro precepto no resultan totalmente coincidentes. Por lo que se refiere específicamente a la intimidad familiar, así lo ha declarado de manera expresa el Tribunal Constitucional en algunos de sus pronunciamientos, al afirmar que “nuestra Constitución no reconoce un ‘derecho a la vida familiar’ en los mismos términos en que la jurisprudencia del Tribunal Europeo de Derechos Humanos ha interpretado el art. 8.1 CEDH” (SSTC 236/2007, de 7 de noviembre, FJ 11; y 60/2010, de 7 de octubre, FJ 8), y que “es jurisprudencia constitucional reiterada…que el ‘derecho a la vida familiar’ derivado de los arts. 8.1 CEDH y 7 de la Carta de los derechos fundamentales de la Unión Europea no es una de las dimensiones comprendidas en el derecho a la intimidad familiar ex art. 18.1 CE” (STC 186/2013, de 4 de noviembre,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presupuestos permiten, a mi juicio, concluir que el criterio interpretativo prescrito en el art. 10.2 CE no puede conducir a integrar el contenido del derecho a la intimidad ex art. 18.1 CE mediante una traslación automática e indiscriminada de la doctrina sentada por el Tribunal Europeo de Derechos Humanos en relación con el derecho al respeto de la vida privada y familiar a que hace referencia el art. 8.1 del Convenio de Roma. El art. 10.2 CE ciñe su mandato a los derechos fundamentales y a las libertades “que la Constitución reconoce”, de modo que, como la propia doctrina constitucional ha advertido, no es posible ignorar en su aplicación “las diferencias normativas existentes entre la Constitución Española y el Convenio Europeo de Derechos Humanos” (SSTC 119/2001, de 24 de mayo, FJ 6; 16/2004, de 23 de febrero, FJ 3). Pues bien, en mi opinión, esta exigencia no ha sido observada por la Sentencia de la que discrepo cuando, con apoyo en resoluciones del Tribunal Europeo de Derechos Humanos dictadas en relación con el art. 8.1 del Convenio, sitúa la pretensión de la recurrente dentro del contenido del derecho a la intimidad personal y familiar reconocido en nuestra Constitución, dando así lugar a lo que considero constituye una indebida ampliación del ámbito protegido por el art. 18.1 CE, que no se acomoda a la lectura que de él ha venido haciendo el Tribunal Constitucional (entre otras, SSTC 134/1999, de 15 de julio, FJ 5; 190/2013, de 18 de noviembre,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razonamiento es el que, a mi parecer, determina que en el supuesto enjuiciado no resulte posible apreciar vulneración del art. 18.1 CE, de la misma manera que tampoco entiendo que las resoluciones impugnadas resulten lesivas de los otros dos derechos alegados en la demanda de amparo: ni de la libertad ideológica ex art. 16.1 CE —por no integrarse tampoco la voluntad de la actora en el contenido propio de este derecho—, ni del derecho a la igualdad y no discriminación ex art. 14 CE —por no concurrir los presupuestos exigibles—.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por respetable y comprensible que pueda resultar la pretensión de la demandante, y por más que su solicitud pudiera encontrar conexión con otros preceptos constitucionales, la argumentación expuesta me lleva a concluir que la inexistencia de lesión de los derechos fundamentales invocados debió conducir en su momento a la inadmisión del recurso de amparo, y ahora en fase de sentencia, a su desestimación.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febrero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Andrés Ollero Tassara en relación con la Sentencia de la Sala Primera de 1 de febrero de 2016 dictada en el recurso de amparo núm. 533-2014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decisión mayoritaria de amparar a la vulnerada recurrente, tras haber tenido el honor de expresar como Ponente el parecer del Tribunal. Discrepo sin embargo de la fundamentación del fallo, resultado de una amplia deliberación. De ahí que, en ejercicio de la facultad conferida por el art. 90.2 de la Ley Orgánica del Tribunal Constitucional , formule Voto particular concurrente respecto de la Sentencia citada en el encabezamiento,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se desprende de los antecedentes recogidos en el texto de la Sentencia, la recurrente centra su demanda en la vulneración de su libertad ideológica (art. 16.1 CE), que considera fruto de una desigualdad de trato (art. 14 CE) con incidencia en su derecho a la intimidad familiar (art. 18.1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fallo de la Sentencia, sin embargo, apunta a la discutida vulneración del último de estos derechos ahorrándose todo argumento a la hora de descartar el principal motivo de impugnación de las resoluciones que niegan a la recurrente la posibilidad ver satisfecha su demanda: que se le entregue el feto fruto de su embarazo. Queda así sin respuesta la sorprendente argumentación del órgano judicial al que se dirigió, que considera que el caso es sustancialmente diverso de otro anterior de cuya solución se aparta.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primero de los dos motivos aducidos por el órgano judicial para justificar su negativa es que el feto, cuya entrega la recurrente reclama, ha sido objeto de un aborto programado con su consentimiento tras diagnosticarse polimalformaciones con hallazgos sugestivos de cromosomopatía, de improbable viabilidad. En el caso anterior, que considera tan “sensiblemente distinto” como para fundamentar una desigualdad de trato, la interrupción del embarazo fue consecuencia de un aborto espontáneo.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Sea cual sea la valoración que —por motivos morales o religiosos— la primera circunstancia merezca, queda fuera de toda duda que el tratamiento legal en vigor considera ambas conductas jurídicamente equiparables; por más que la primera fuera fortuita y la segunda expresiva de un agere licere, aunque no llegara a implicar el ejercicio de un derecho. La recurrente solicitaba autorización judicial para “despedirse del feto con su pareja” y para “poder incinerarlo”, “en una ceremonia de carácter civil y familiar”. Dado que en ninguno de los dos casos se cumplían las condiciones que obligarían a una inscripción registral (ciento ochenta días de gestación), ni las fijadas por un protocolo sanitario de problemática relevancia (500 gramos de peso), no hay motivo que justifique la diferencia de trato que llevó al órgano judicial a ordenar la entrega del feto a la primera madre y negarlo a la ahora recurrente, impidiendo su legítimo deseo de tratarlo como hijo dándole “digna sepultura a su creación física y espiritual”.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segundo de los motivos reconocido por el órgano judicial, de especial transcendencia constitucional, es el que sin duda constituye el centro de la polémica situación, pese a que la Sentencia opte por ignorarlo. Se satisface pues en el primer caso la entrega del feto a solicitud de la madre, porque esta se confiesa vinculada a la religión musulmana, lo que le lleva a oponerse a la incineración del fruto de su vientre por considerar obligado darle sepultura en la tierra. Se le niega sin embargo trato similar a la recurrente, porque la solicitante no “invoca religión católica alguna, ni solicitarlo por motivos religiosos”; lo que le lleva a constatar que no se respetan “de igual modo los valores y creencias (religiosas o no)” que le mueven, generando una desigualdad de trato carente de fundamento objetivo y razonable con resultado discriminatorio.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falta precedente en la doctrina del Tribunal que avala dicha conclusión. Ya desde la Sentencia 15/1982 de 23 de abril, en su FJ 7, se rechaza la negativa a reconocer la condición de objetor al servicio militar a un ciudadano por no constar motivaciones religiosas en la fundamentación ética de su actitud. Tanto aquel caso como el ahora resuelto pueden producir cierta sorpresa, ya que suele transcender con más frecuencia —como fruto de querencias laicistas ajenas a nuestro texto constitucional— desigualdades de trato a motivos religiosos respecto a los ideológicos, pese a estar ambos claramente equiparados en el primer epígrafe del art. 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deja de resultar llamativa la aparente dificultad para conceder amparo a los derechos y libertades relacionados con la conciencia personal, que he tenido ya ocasión de detectar en anteriores Votos particulares. Ello me lleva a pensar que el Tribunal ha desaprovechado una clara oportunidad de resaltar el obligado respeto a convicciones personales que —se compartan y consideren coherentes o no— respetan el ordenamiento legal y no afectan al orden público, único límite aceptado por el art. 16.1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Marginada por la Sentencia la posible vulneración de la libertad ideológica, sería la del derecho a la igualdad la que pasa a reclamar primordial atención. No ha ocurrido tampoco así, lo que no deja de resultar razonable por doble motivo. Por una parte, ante la dificultad de aplicar al caso la doctrina del Tribunal sobre igualdad en la aplicación de la ley, al explicitar el órgano judicial con nitidez el cambio de criterio adoptado. Por otra, dada la imposibilidad de aludir a la desigualdad de trato sin proyectar a la vez luz sobre la libertad ideológica, cuya consideración se ha optado por rehuir.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No quedaba pues ya otra vía para otorgar amparo que la apelación —como criterio interpretativo ex art. 10.2— al art. 8 del Convenio de Roma; remisión no exenta por lo demás de dificultades, al ser constante la doctrina del Tribunal sobre el art. 18.1 CE, en la que se le ha reconocido reiteradamente (por todas STC 186/2013, de 4 de noviembre) alcance menor que el conferido por el Tribunal de Estrasburgo al paralelo artículo del citado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febrero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Encarnación Roca Trias a la Sentencia dictada en el recurso de amparo núm. 533-2014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 la Sala, expreso mi discrepancia con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los efectos de la mejor comprensión de la argumentación de este Voto disidente, debo hacer un breve resumen de los hechos que dan lugar a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Doña Nerea Mendicute se sometió a una interrupción voluntaria legal del embarazo, consecuencia de las malformaciones que afectaban al feto. En aquel momento se hallaba en las 22 semanas de la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Pidió que se le entregaran los restos para poder incinerar el feto abortado y poder despedirlo en una ceremonia íntima. No consta la religión de la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Por auto de fecha 17 de octubre de 2013, rectificado el 21 de octubre, se resuelve negativamente la petición con los argumentos que figuran en los antecedentes de la Sentencia. Es también rechazado por un posterior recurso de reforma. En éste, la Juez alega un caso anterior ocurrido con una mujer musulmana a la que entregó el producto del aborto debido a su religión, que impide la incineración.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Apelado dicho auto, es desestimado por Auto de 23 de diciembre de 2013 de la Sección Tercera de la Audiencia Provincial de Guipúzcoa.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Contra esta decisión plantea la recurrente el presente recurso de amparo, por vulneración de los derechos fundamentales a la libertad ideológica (art. 16.1 CE), a la intimidad familiar (art. 18.1 CE) y a la igualdad (art. 14 CE). El recurso es estimado en la Sentencia cuyo fallo y motivación, respetuosamente,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radica fundamentalmente en que, tal y como expuse en la deliberación de la Sala, con la aprobación de esta Sentencia se ha dotado de un nuevo contenido constitucional al art. 18.1 CE, sin el necesario respaldo legal ni jurisprudencial mínimamente exigible y sin medir, además, las consecuencias legales que de este reconocimiento se pueden derivar.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Para llegar a las anteriores conclusiones que van a dar lugar a la estimación del recurso, la argumentación de la presente sentencia se apoya en la jurisprudencia del Tribunal Europeo de Derechos Humanos de forma prácticamente exclusiva, al entender que no existen precedentes sobre casos semejantes en la doctrina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primer lugar, en el fundamento jurídico 3 de la Sentencia se citan los siguientes casos: Sabanchiyeva y otros c. Rusia (núm. 38450-2005, STEDH de 6 de junio de 2013), Maskhadova y otros c. Rusia (núm. 8071-2005, STEDH también de 6 de junio de 2013) y Abdulayeva c. Rusia (núm. 8552-2005, STEDH de 16 de enero de 2014), en los que se invocó concurrentemente “la lesión del derecho a la libertad de pensamiento y de conciencia [art. 9 del Convenio europeo para la protección de los derechos humanos y de las libertades fundamentales (CEDH)] —equivalente al establecido en el art. 16.1 CE—, si bien el Tribunal Europeo de Derechos Humanos no halló razones para hacer un examen separado de ambas lesiones (Abdulayeva c. Rusia, § 60; Sabanchiyeva y otros c. Rusia, §§ 157 y 158; y Maskhadova y otros c. Rusia, §§ 248 y 249)”. También se alegan las sentencias “Girard c. Francia (núm. 22590-2004, STEDH de 30 de junio de 2011) y Pannullo y Forte c. Francia (núm. 37794-1997, STEDH de 30 de enero de 2002) —o el rechazo a entregar a la esposa la urna con las cenizas de su esposo— asunto Elli Poluhas Dödsbo c. Suecia (núm. 61564-2000, STEDH de 17 de enero de 2006)”. Mi discrepancia en este primer bloque de citas se basa en que el supuesto de hecho sobre los que tuvo que pronunciarse el Tribunal Europeo de Derechos Humanos era diferente, al tratarse de la entrega de cadáveres, es decir, personas muertas, por lo que y para proteger la dignidad personal, están habilitados sus familiares para reclamar sus restos mortales, lo que no ocurre con los fetos fallecidos antes del nacimiento, porque aún no han adquirido personalidad, de acuerdo con lo declarado en las SSTC 35/1985, 212/1996 y 116/1999.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estas razones, deberían haberse obviado las citas de estas Sentencias.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segundo lugar, la presente Sentencia basa su argumentación para reconocer la existencia en España de un derecho a la intimidad familiar en el sentido del art. 8.1 CEDH, en las SSTEDH asuntos Hadri-Vionnet c. Suiza (núm 55525-2000, de 14 de febrero de 2008) y Marić c. Croacia (núm 50132-2012, de 12 de junio de 2014), con una interpretación voluntarista de las mismas. Es cierto que, como en el presente recurso, ambas resoluciones se refieren a concebidos con diferentes periodos de desarrollo gestacional, pero la ratio decidendi no puede trasladarse sólo por ello, automáticamente, al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asunto Hadri-Vionnet c. Suiza, el Tribunal Europeo de Derechos Humanos apreció la vulneración del art. 8 CEDH, porque consideró que la injerencia en el derecho a la vida privada y familiar se produjo por el incumplimiento, por parte de la Administración, de una norma legal vigente y clara relativa al tratamiento de estos restos. En concreto, la decisión de la Administración de proceder al enterramiento del hijo de la demandante, que tras 26 semanas de gestión, nació muerto, y ello sin comunicárselo a los padres, y, además, trasladar sus restos en un vehículo de transporte comercial (§ 61). Por su parte, la STEDH Marić c. Croacia, tras citar la mencionada, concluyó, en el mismo sentido, que la injerencia consistente en este caso en deshacerse del cuerpo del concebido como residuo clínico sin dejar rastro de los restos o de su paradero, se produjo como consecuencia de no haber actuado la Administración conforme a la ley, como requiere el art. 8 CEDH, dado que las instrucciones del Ministerio de Sanidad sobre eliminación de residuos clínicos y las ordenanzas sobre las medidas de prevención y lucha contra infecciones hospitalarias, sólo se referían a fetos de hasta 22 semanas de gestión, y claramente no era el supuesto del demandante (§ 69).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la simple lectura de las resoluciones judiciales impugnadas, para constatar que no nos encontramos ante la misma situación. La Sentencia, de la que discrepo, aplica, sin embargo, los argumentos del Tribunal Europeo de Derechos Humanos y equipara el incumplimiento de una norma legal (como la suiza o la croata), al que dice que, en el caso español, es una “falta de una regulación clara en esta materia”. Tal equiparación le lleva a concluir que “las resoluciones judiciales impugnadas han restringido el derecho a que la vida personal y familiar sea respetada (art. 18.1 CE)”, pues no existe una norma verdaderamente habilitante y, por tanto, la jueza no contaba con la suficiente cobertura legal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Parece insuficiente y arriesgado decidir que a la recurrente se le había violado un derecho que, en realidad se instituye de nuevo a partir de una lectura del art. 18.1 CE, con base únicamente en la existencia de las dos resoluciones del Tribunal Europeo de Derechos Humanos —asuntos Hadri-Vionnet c. Suiza y Maric c. Croacia, que constatan la vulneración del art. 8 CEDH, derecho a la vida privada y familiar por el incumplimiento de la normativa suiza y la croata, respectivamente. A diferencia de la española, las Constituciones de los citados Estados reconocen, expresamente el derecho al respeto a la vida familiar (arts. 13 y 35, respectivamente). Echo de menos, por tanto una construcción sobre el encaje constitucional de este “nuevo” derecho derivado del art. 8 CEDH, pero no incluido en el art. 18.1 CE, construcción en la que hubieran debido tener en cuenta, al menos, las diferencias jurídicas entre conceptos tan distintos como los implicados: “resto quirúrgico”, "feto”, “hijo no nato”, “mortinato” o “hijo nacido muerto”, “alumbramiento”, “nacimiento”. A mi juicio, se hacía imprescindible, una valoración de todas ellas en relación con su posible integración en el concepto de intimidad privada y familiar protegido por el art. 18.1 CE. Según el apartado 2 del art. 8 CEDH no podrá haber injerencia de la autoridad pública en el ejercicio del derecho al respeto de la vida privada y familiar, de su domicilio y correspondencia, “sino en tanto en cuanto esta injerencia esté prevista por la ley y constituya una medida que, en una sociedad democrática, sea necesaria para la seguridad nacional, la seguridad pública, el bienestar económico del país, la defensa del orden y la prevención del delito, la protección de la salud o de la moral, o la protección de los derechos y las libertades de los demás”. En aplicación de tal norma, el Tribunal Europeo de Derechos Humanos tan solo constató formalmente en los casos citados la existencia de la injerencia para, una vez superado el trámite de admisión, analizar si existía o no la lesión del derecho, de conformidad con la normativa citada, concluyendo que la violación de las normas de derecho positivo que desarrollaban el derecho a la intimidad familiar en los respectivos países, había producido la lesión de dicho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 España el derecho no está directamente reconocido, como veremos a continuación y la normativa existente se cumplió, no pueden servir de fundamento para la Sentencia los argumentos derivados de supuestos distintos al aquí examinado.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Dicho lo anterior, tengo que poner de relieve que en la Sentencia de la que discrepo, se echa de menos un detallado análisis de la jurisprudencia de este Tribunal sobre el contenido del derecho reconocido en el art. 18.1 CE, es decir, el derecho a la “intimidad privada y familiar” y no a la “vida privada y familiar” del art. 8 CEDH. En realidad se equipara el art. 18.1 CE a lo dispuesto en el art. 8 CEDH, olvidando que lo que el art. 10.2 CE establece es la obligación de la interpretación de los derechos fundamentales de conformidad con los Tratados Internacionales ratificados por España, pero no obliga a transponer exactamente al ordenamiento interno los distintos tipos de Derechos recogidos en cada texto legal. La sentencia acoge acríticamente los argumentos de las sentencias Tribunal Europeo de Derechos Humanos dictadas en los casos Hadri-Vionnet y Marić sin una justificación sólida que avale la implantación, de un derecho fundamental, que, según nuestra jurisprudencia, parece encontrar mejor acomodo en el art. 10 CE: libre desarrollo de la personalidad.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ya en la STC 236/2007, FJ 11, el Pleno de este Tribunal afirmó que “nuestra Constitución no reconoce un ‘derecho a la vida familiar’ en los términos en que la jurisprudencia del TEDH ha interpretado el art. 8.1 CEDH … lo que en modo alguno supone que el espacio vital protegido por ese ‘derecho a la vida familiar’ derivado de los arts. 8.1 CEDH y 7 de la Carta de derechos fundamentales de la Unión europea, y, en lo que aquí importa, la configuración autónoma de las relaciones afectivas, familiares y de convivencia, carezca de protección dentro de nuestro ordenamiento constitucional ”, y que la intimidad familiar se muestra como una dimensión adicional de la intimidad personal, que “implica ‘la existencia de un ámbito propio y reservado frente a la acción y conocimiento de los demás, necesario —según las pautas de nuestra cultura— para mantener una calidad mínima de la vida humana’ (STC 231/1988, de 2 de diciembre, FJ 3)”. Por lo tanto, consideramos que la libertad de procreación constituye, al igual que la relativa a la decisión de continuar o no una relación afectiva o de convivencia, una manifestación del libre desarrollo de la personalidad (STC 215/1994, de 14 de julio, FJ 4). Y que “la imposición de la pena de alejamiento afecta al libre desarrollo de la personalidad (art. 10.1 CE) pero no a la intimidad familiar, porque lo que el derecho reconocido en el art. 18.1 CE protege ‘es la intimidad misma, no las acciones privadas e íntimas de los hombres’ (STC 89/1987, de 3 de junio, FJ 2)” (STC 60/2010, de 7 de octubre, FJ 8). Más recientemente, hemos distinguido los derechos a la intimidad familiar y el derecho a la vida familiar, declarando que éste último no se encuentra comprendido en el art. 18.1 CE (STC 186/2013, de 4 de noviembre). De este modo considero que la argumentación de la Sentencia contra la que formulo el presente voto particular modifica la doctrina hasta ahora mantenida por este Tribunal, sin aportar argumentos que justifiquen el cambio.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He de añadir que la conclusión sobre la falta de claridad de la regulación existente a la que llega la Sentencia, no es correcta.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afirma que los órganos judiciales “no contaban con previsiones específicas que determinaran si puede la Administración hospitalaria entregar por sí los restos humanos sin necesidad de autorización judicial o, en la hipótesis de que sea necesario el permiso judicial de incineración, si éste presupone o no la inscripción en el Legajo de criaturas abortivas del Registro civil” (FJ 4). Por lo que “no cabe deducir extensivamente la prohibición de entrega para su enterramiento o incineración de criaturas abortivas de menor tiempo: la norma no somete el enterramiento o incineración a las exigencias de permiso judicial e inscripción registral ni impide por sí la anotación de criaturas abortivas de menos de 180 días” (FJ 4). Apreciación que se confirma con el hecho de que el propio órgano judicial reconozca haber realizado la inscripción y concedido la licencia judicial de enterramiento en otro caso, en el que tampoco se alcanzaban los 180 días de vida fetal (FJ 4). Sin embargo, no se ha tenido en cuenta que en el FJ 2 in fine del Auto de 19 de diciembre de 2013, que obra en las actuaciones, se afirma lo siguiente: “nótese que ni esta instructora a salvo del caso previo que resolvió ni el recurrente han sido capaces de encontrar e invocar resoluciones similares, sin perjuicio de que este Protocolo lleva vigente desde 1998 en el País Vasco y se al menos (sic) existen indicios de que en Barcelona se aplica en algún Hospital procedimientos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las dudas que se manifiestan sobre la falta de claridad de la regulación legal española, se desprenden del Auto de desestimación del recurso de apelación, de fecha de 23 de diciembre de 2014. Por el contrario, se razona suficientemente por qué entiende que no es preceptiva la inscripción en el legajo de criaturas abortivas, necesaria para expedir la licencia de enterramiento, ni su tratamiento como resto cadavérico a los efectos de la normativa mortuoria, en aplicación del art. 2 del Decreto 202/2004. Considera que sólo se les atribuye el mismo destino que a los cadáveres, en aquellos supuestos en que no se ha producido el nacimiento, si son “restos humanos de entidad suficiente”. Dado que éste constituye un concepto jurídico indeterminado, lo integra a partir de lo dispuesto en la Convención sobre los Derechos del Niño adoptada por la Asamblea General de Naciones Unidas de 20 de noviembre de 1989 que en su artículo 7 recoge el derecho del niño a la inscripción “inmediatamente después de su nacimiento” y la resolución de la Dirección General de Registros y Notariado de 21 de mayo de 1998 que establece que “la ley es clara y tajante cuando impone únicamente la obligación de declarar el nacimiento de criaturas abortivas de más de 180 de vida fetal, art. 45 LRC”; lo anterior se relaciona con el art. 15 de la Ley Orgánica 2/2010 que cifra en que no se superen las veintidós semanas, el plazo para el aborto siempre que exista riesgo de graves anomalías en el feto y el contenido del protocolo de Osakidetza y la consideración de restos quirúrgicos de los que no superen los 500 gramos y 180 días de gestación. Por último, hay que subrayar que descarta la aplicación de la STEDH Hadri-Vionnet c. Suiza, por referirse a un “supuesto distinto y diferenciado”, al haberse producido el nacimiento y, por ello, tener los restos la consideración de cadáver, tanto a efectos de inscripción como de enterramiento.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Desde el inicio de la tramitación del presente recurso, defendí que el problema que planteaba el recurso podría haber sido un problema de tutela judicial efectiva (art. 24.1 CE), en relación con la arbitrariedad o no de las decisiones del órgano judicial interpretativas de la legalidad vigente. Esta vulneración no ha sido invocada, sin embargo, por la recurrente. En consecuencia, no se trataba de un caso de vulneración de los derechos fundamentales alegados: derecho a la igualdad en la aplicación de la ley (art. 14), libertad ideológica y derecho a la intimidad familiar y personal (art. 18.1 CE). El recurso no tenía la especial trascendencia constitucional de acuerdo con lo dispuesto en el art. 49.1 de la Ley Orgánica del Tribunal Constitucional, que obligara a este Tribunal a admitirlo a trámite, puesto que la lesión de los derechos alegados en la demanda no podía justificar un pronunciamiento.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incluso, si se hubiese reclamado alegando la vulneración del art. 24.1 CE, no debería haberse apreciado dicha vulneración, porque el órgano judicial aplicó la normativa vigente y ésta no ha sido impugnada constitucionalmente ni antes ni con ocasión del presente recurso. Se muestra, por tanto, estéril el esfuerzo realizado en el último fundamento jurídico de la Sentencia, intentando justificar la injerencia producida en el derecho a la intimidad familiar por los órganos judiciales, en la ausencia de impedimento alguno de orden público general o sanitario, o de riesgo, de haber adoptado la decisión contraria.</w:t>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Madrid, a uno de febrero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