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Vicepresidenta,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2391-2014, promovido por el Consejo de Gobierno de la Comunidad Autónoma de Andalucía contra la disposición transitoria tercera y la disposición final segunda del Real Decreto-ley 9/2013, de 12 de julio, por el que se adoptan medidas urgentes para garantizar la estabilidad financiera del sistema eléctrico.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abril de 2014 tuvo entrada en el Registro General de este Tribunal, escrito del Letrado de la Junta de Andalucía por el que, en nombre y representación del Consejo de Gobierno de la Comunidad Autónoma, interpone recurso de inconstitucionalidad contra la disposición transitoria tercera y la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cumplimiento de los requisitos procesales para el planteamiento del recurso, y al marco normativo general en el que se inserta la disposición recurrida, la demanda procede al análisis de los concretos motivos de inconstitucionalidad sustentan la presente impugnación, y que son los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la demanda, en primer término, que se incumple el presupuesto habilitante de la extraordinaria y urgente necesidad, contemplado en el art. 86.1 CE, para la utilización del instrumento normativo del decreto-ley. Tras un extenso análisis de la doctrina constitucional en la materia, se afirma que dicho incumplimiento deriva del hecho de que, conforme a lo señalado en la exposición de motivos de la norma, la extraordinaria urgencia se sustenta en la necesidad de paliar el déficit tarifario del sector eléctrico, y dicha circunstancia no es nueva, sino que ha sido objeto de una utilización sistemática y reiterada, por lo que difícilmente puede defenderse que nos hallemos ante una situación imprevista, cuando la propia defensa parlamentaria de la medidas normativas ha puesto de relieve la existencia de este déficit desde hace casi una década.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demanda que se infringe el art. 86.1 CE, en cuanto las medidas que se adoptan no modifican de manera instantánea la situación jurídica existente, ya que la mayoría de ellas tiene una aplicación diferida. El mantenimiento transitorio de las disposiciones derogadas, recogido en la disposición transitoria tercera de la norma impugnada, se opone a la urgencia que justifica acudir a la figura del decreto-ley; y la remisión a una norma posterior para la regulación del nuevo régimen retributivo de ese subsector, que efectúa la disposición final segunda, justifica la falta de eficacia directa de las medidas adoptadas. En todo caso, no se explicitarían en el preámbulo cuáles son los motivos por lo que dicha regulación no podría haberse aprobado como proyecto de ley, siquiera sea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en segundo lugar, la vulneración del principio constitucional de seguridad jurídica (art. 9.3 CE), y su corolario de confianza legítima, que se produciría en su vertiente de certeza del régimen jurídico aplicable al sector de la producción de energía obtenida con fuentes renovables, en la medida en que las continuas decisiones legislativas de los últimos años, cambiando las reglas de juego del mercado eléctrico por la vía de urgencia, introducen una evidente incertidumbre entre los operadores del sector y los ciudadanos en general, contraria 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principio de confianza legítima, corolario del principio de seguridad jurídica, encuentra su fundamento en el hecho de que la modificación del régimen retributivo de esta modalidad de producción de energía eléctrica, constituye una medida que, no aisladamente, pero sí contextualizada en su conjunto, implica un cambio de orientación no previsible en el régimen jurídico-económico en el que legítimamente confiaron los operadores del sector, yendo pues más allá de una razonable opción de política legislativa. Supone un cambio drástico del sistema normativo diseñado en los pasados años conforme a la normativa europea, sistema que implicaba la creación por la Administración de unos signos externos (normativa y planes) de relevante perdurabilidad, que impulsó a los operadores del sector a adoptar determinadas decisiones en cuanto a su planificación e inversión. La constante modificación en un sector necesitado de planificación a largo plazo, en los términos de los arts. 38 y 131 CE, vulnera el principio de seguridad jurídica y confianza legítima que garantizar el art. 9.3 CE, pues, además de perjudicar el interés jurídico protegido por dichos principios, pone en riesgo las inversiones ya realizadas por los empresarios del sector y la ciudadanía en general, en tanto que se modifican de modo constante y reiterado las normas en base a las cuales se adoptaron las decisiones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disposición transitoria tercera deja vigentes de modo transitorio una serie de disposiciones, pero manteniendo la total incertidumbre acerca de la duración de dicha transitoriedad, lo que es claramente contrario a la seguridad jurídica, pues va a provocar que la actividad de generación se desarrolle con total desconocimiento de la fecha y cuantía de la retribución que se va a percibir por ella a partir de la entrada en vigor del Real Decreto, posponiendo la determinación de los derechos de pago y cobro a una regulación posterior. Por su parte, la disposición final segunda remite la regulación del nuevo régimen jurídico y económico de la producción de esta modalidad de energía, a la aprobación posterior por parte del Gobierno de un real decreto sobre esta materia, por lo que nuevamente se expone a los inversores a la incertidumbre sobre la retribución que les corresponderá, y el momento a partir del cual entrará en vigor el nuevo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Primera y por providencia de 27 de mayo de 2014, se acordó admitir a trámite el presente recurso de inconstitucionalidad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pudiesen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5 de junio de 2014, el Presidente del Congreso de los Diputados comunicó el acuerdo de la Mesa de la Cámara de dar por personada a la misma en este procedimiento y por ofrecida su colaboración a los efectos del art. 88.1 LOTC. En el mismo sentido, y por escrito de 11 de junio de 2014, el Presidente del Senado comunica la personación de esa Cámara y el ofrecimiento de colaboración a los efectos del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junio de 2014, el Abogado del Estado se persona en nombre del Gobierno y solicita prórroga del plazo para formular alegaciones, que le fue concedido mediante providencia del Pleno de 12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 de julio de 2014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cuanto a la alegada vulneración del art. 86.1 CE, el Abogado del Estado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la Energía, en un saldo de deuda acumulada de 26.062,51 millones de euros, a 10 de mayo de 2013. De forma complementaria al cálculo de la deuda del sistema eléctrico,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 El carácter estructural del problema no imposibilita desde el punto de vista jurídico la adopción en un momento dado de medidas legislativas a través de un decreto-ley si, en consideración a las circunstancias concretas en dicho momentos en que se adopta la norma, el Gobierno así lo aprecia justamente.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Abogado del Estado que la norma recurrida tiene una vigencia inmediata y, en este sentido, la disposición final segunda del Real Decreto-ley establece la vigencia del nuevo régimen de retribución desde la entrada en vigor del mismo, esto es, sin efecto retroactivo alguno, por lo que no se trata de un régimen de retribuciones aplazado; el destinatario de la norma sabe cuál es el nuevo sistema de retribuciones a la producción, sobre qué bases se asienta y en qué consiste desde la entrada en vigor del Real Decreto-ley y cómo se aplicará, es decir, la aplicación provisional con facturaciones a cuenta del sistema hasta el momento vigente, y el porqué de la situación, la necesidad de precisión reguladora en el sistema de facturación mediante normativa reglamentaria de carácter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los elementos normativos básicos o esenciales de la reforma ya están prefijados en la nueva redacción del art. 30.4 de la Ley 54/1997, modificado por el art. 1.3 del Real Decreto-ley. La referencia que se efectúa al real decreto que modificará el modelo retributivo, significa el desarrollo, detalle o concreción de ese nuevo régimen retributivo que introduce el Real Decreto-ley 9/2013. Por su parte, la disposición transitoria tercera contiene una norma lógica de derecho transitorio puesto que la nueva regulación establecida prevé un desarrollo reglamentario para su efectiva aplicación, sin que ello suponga en modo alguno deslegalización o remisión en bloque a la norma reglamentaria, sino, por el contrario, una norma de concreción y ejecución del régimen jurídico esencial ya establecido o configurado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pues, un efecto retroactivo, en tanto que el nuevo régimen jurídico se aplica desde la entrada en vigor del Real Decreto-ley 9/2013, y así lo prevé de manera explícita la norma, con independencia de que quepa una normativa de desarrollo. La retroactividad que pudiera apreciarse lo sería solo de grado mínimo, pues la aplicación de la nueva ley se produce sólo respecto de los efectos de las situaciones que se generen tras la entrada en vigor de la misma, algo admitido doctrinalmente por la jurisprudencia constitucional, máxime en lo que se refiere al cambio legislativo que experimente el ordenamiento a través de normas con rango de ley, cuya actividad innovadora no contraviene el principio de irretroactividad. Tampoco nos hallamos ante una norma sancionadora en sentido técnico, y la misma no posee alcance expropiatorio alguno, ni incide en derechos patrimoniales ya consolidados e incorporados definitivamente al patrimonio del destinatario de la norma o modificativa de situaciones jurídicas favorables ya agotadas o consumadas. Como argumento complementario, se señala que la norma no contempla en ningún caso la devolución de cantidades percibidas con anterioridad a su entrada en vigor, e incorporadas al patrimonio del sujeto destinatario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infracción del principio de seguridad jurídica, señala el Abogado del Estado que las circunstancias que motivan la regulación de fondo contenida en el Real Decreto-ley, y su condición de norma con rango de ley disipan la objeción de una supuesta o hipotética falta de seguridad jurídica respecto de la situación regulada, conforme y por comparación con la normativa preexistente que viene a modificar. Se recuerda que, conforme a la doctrina constitucional, el principio de seguridad protege la confianza de los ciudadanos, pero no puede entenderse como un supuesto derecho al mantenimiento de una determinado régimen jurídico; la confianza que protege ese principio es únicamente la que puede existir frente a cambios normativos que no sean razonablemente previsibles, y no puede resultar previsible el mantenimiento indefinido e inamovible de una situación, que no conceda al legislador la posibilidad de alteración de ese régimen o la innovación de la realidad jurídica, hacia una situación regida por premisas normales de explotación económica de mercado, en un sector empresarial determinado, es decir no puede pretenderse la permanencia de un sistema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por el Abogado del Estado que la norma resulte arbitraria, en tanto que la modificación operada se produce sobre la base de criterios específicos y objetivos otorgados por la ley de reforma, e íntimamente conectados con la realidad jurídica empresarial de la industria en la que incide. Y se niega también la supuesta desigualdad de trato entre empresas del sector eléctrico, pues, como se pone de manifiesto en el informe de la Secretaría General Técnica, “la evolución descontrolada e insostenible del déficit de tarifa ha hecho necesaria la adopción de múltiples medidas… 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 de marzo de 2016,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Consejo de Gobierno de la Comunidad Autónoma de Andalucía contra la disposición transitoria tercera y la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viene, en lo sustancial, a modificar la Ley 54/1997, de 27 de noviembre, del sector eléctrico, en orden al establecimiento de un nuevo régimen retributivo para las instalaciones de producción de energía eléctrica a partir de fuentes de energía renovable, cogeneración y residuos. A través de los preceptos impugnados en este proceso, se habilita al Gobierno para desarrollar por real decreto el régimen jurídico y económico para estas instalaciones con retribución primada, que modificará el régimen retributivo de las instalaciones existentes, y será de aplicación desde la entrada en vigor del presente Real Decreto-ley; y se establece, además, un régimen transitorio, en virtud del cual serán temporalmente de aplicación los reales decretos que contemplan el régimen vigente —y que expresamente se derogan—,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Andalucía considera que los preceptos impugnados infringen: el art. 86.1 CE, por falta del presupuesto habilitante de la extraordinaria y urgente necesidad para la aprobación de la norma por el procedimiento de urgencia; y el principio de seguridad jurídica del art. 9.3 CE, en su vertiente de protección de la, confianza legítima y certeza del derecho, en la medida en que el cambio normativo realizado por vía de urgencia y con carácter retroactivo, genera incertidumbre en los afectados, y resulta imprevisible y desfavorable para las instalaciones de producción de energía eléctrica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controvertidas en el presente proceso, presentan una sustancial coincidencia con las suscitadas en el recurso de inconstitucionalidad tramitado bajo el número 5347-2013 y resuelto por la reciente STC 270/2015, de 17 de diciembre, cuya doctrina resulta, en consecuencia, de directa aplicación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y en lo que respecta a la pervivencia del proceso tras las modificaciones efectuadas en la norma impugnada por la Ley 24/2013, de 26 de diciembre, del sector eléctrico, hemos tenido ocasión de señalar que tales modificaciones no han dado lugar a una derogación, o, lo que es lo mismo, a la remoción absoluta de las situaciones jurídicas creadas al amparo de la disposición impugnada, sino, más bien al contrario, a una novación actualizada del régimen retributivo que se contempla en a disposición impugnada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 (STC 270/2015,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fondo, procede examinar en primer término la tacha de inconstitucionalidad relativa a la vulneración del art. 86.1 CE que se imputa a los preceptos impugnados y que se fundamenta en la ausencia del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los requisitos previstos en el art. 86.1 CE, fue objeto de examen pormenorizado en el fundamento jurídico 5 de la STC 270/2015, entendiendo que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justificación específica de las medidas adoptadas, consideramos que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dijimos que “las medidas propuestas, en cuanto persiguen precisamente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la vulneración del principio de seguridad jurídica (art. 9.3 CE) en su vertiente de previsibilidad o protección de la confianza legítima y también en su dimensión de certeza del Derecho. Los argumentos expuestos por los recurrentes han sido expresamente rechazados por este Tribunal en el fundamento jurídico 7 de la citada STC 270/2015.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entonces que “el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también que “los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infracción del principio de seguridad jurídica, en su vertiente de previsibilidad y certeza de derecho, en concreto, en lo que respecta a los preceptos impugnados en este proceso, también hemos tenido ocasión de señalar que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que tiene un efecto retroactivo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implica, como alega la parte recurrente, que la norma impugnada tenga carácter retroactivo, puesto que “el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 … 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 [FJ 7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2391-2014, al que se adhieren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 invocación de los principios de seguridad jurídica y confianza legítima analizada en el fundamento jurídico 4,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concurrente a la STC 270/2015, de 17 de diciembre, al que para evitar reiteraciones innecesarias me remito.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