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9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día 30 de junio de 2015, la Procuradora de los Tribunales doña Concepción Delgado Azqueta, en nombre y representación de Cap Deu, S.L., y Lasbolis 2001, S.L., interpuso demanda de amparo contra el Auto de 14 de mayo de 2015 de la Sección Octava de la Audiencia Provincial de Sevilla, dictado en recurso de apelación núm. 7452-2014-A, confirmatorio del de 24 de abril de 2014 del Juzgado de Primera Instancia núm. 2 de Sevilla, en ejecución hipotecaria núm 827-2012, que acordó el sobreseimiento de la oposición a la ejecución hipotecaria formulada por las sociedades recurrentes, teniéndolas por desistidas, al no comparecer a la vista con procurador (art. 560, párrafo cuarto,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recurrentes en amparo denuncian en su demanda la vulneración del derecho a la tutela judicial efectiva sin indefensión (art. 24.1 CE). Subrayan que no desistieron de su demanda de oposición a la ejecución, ni de la vista ni del procedimiento, como probaría que su letrado expresase su protesta en la comparecencia y, de forma clara, en esa vista del incidente de oposición celebrada el día 23 de abril de 2014, así como su interés en continuar con la demanda de oposición. El retraso de unos pocos minutos de la Procuradora que tenía que representar a las recurrentes, por tanto, no puede calificarse como un acto de desistimiento. Las resoluciones impugnadas, además de contrarias a la jurisprudencia del Tribunal Supremo y del Tribunal Constitucional, carecen en consecuencia de motivación, no razonando su decisión a la luz de una regulación legal que, en el art. 560 de la Ley de enjuiciamiento civil, dispone la asistencia a la vista del ejecutado, como aquí ocurrió, sin señalar en cambio que el procurador esté obligado a acudir también a la misma. El sobreseimiento acordado, sin causa legal que lo ampare, sería por todo ello contrario al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la Sala Segunda de este Tribunal, por providencia de 29 de octubre de 2015, declaró la inadmisión del recurso de amparo por manifiesta inexistencia de violación de un derecho fundamental tutelable en amparo; violación que, de acuerdo con el art. 44.1 de la Ley Orgánica del Tribunal Constitucional, es condición para que este Tribunal pueda ejercer dicha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día 26 de noviembre de 2015, interpuso recurso de súplica contra la referida providencia de inadmisión. Argumenta que las resoluciones recurridas no contienen referencia alguna a la significación que pueda tener la presencia en la vista del poderdante o la actitud del Abogado defensor pidiendo el aplazamiento o la celebración de la misma, revelando con ello que no existía intención alguna de abandonar el ejercicio de la oposición planteada. No es correcto por consiguiente, concluye, apreciar una manifiesta ausencia de vulneración de derechos fundamentales tutelables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27 de noviembre de 2015, la Secretaría de Justicia de la Sala Segunda dio traslado del escrito del Ministerio Fiscal a la representación procesal de los demandantes de amparo, a fin de que en el plazo de tres días pudieran alegar lo que estimasen pertinente en relación al recurso de súplica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3 de diciembre de 2015, la representación procesal de los recurrentes evacuó dicho trámite, adhiriéndose a las alegaciones del Ministerio Fiscal e interesando la estimación del recurso de súplica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presentadas hay que coincidir con el Ministerio Fiscal en que el recurso de amparo no revela, en contra de lo que apreciamos en nuestra providencia de 29 de octubre de 2015, una manifiesta inexistencia de la violación del derecho fundamental que se invoca.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ha quedado sucintamente reflejado en los antecedentes de esta resolución, una vez señalada la fecha para la celebración del incidente de oposición a la ejecución, compareció a la misma el letrado de los recurrentes en amparo y su representante legal, no haciéndolo en cambio, a la hora prevista, el Procurador designado. La consecuencia procesal de ello fue la de no tener por comparecida a la parte en la vista y declarar el sobreseimiento de la oposición por desistimiento, de conformidad con lo previsto en el art. 560, párrafo cuarto de la Ley de enjuiciamiento civil, según ha precisado el Auto recurrido de la Audiencia Provincial de Sevilla.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concluirse que no cabe excluir de forma terminante en esta fase de admisibilidad la vulneración denunciada. En efecto, en primer lugar, la declaración de desistimiento indicada no tuvo fundamento en una regulación legal inequívoca, puesto que, como afirma la parte recurrente en amparo, el tenor literal del art. 560 de la Ley aplicada, en su párrafo cuarto, no descarta necesariamente una interpretación distinta a la realizada por el órgano judicial. Incluso si la citada norma procesal, como han entendido los órganos judiciales intervinientes, contuviera implícitamente un régimen de postulación procesal dirigido a asegurar el buen desarrollo de la actividad jurisdiccional mediante la garantía de que quien comparece por la parte no carece de las facultades de representación necesarias para actuar en su nombre, y de que, así, la parte puede conducirse en el proceso de la forma más conveniente para sus derechos e intereses jurídicos y defenderse debidamente frente a la parte contraria, lo cierto es que desde el prisma del derecho fundamental aducido sería relevante considerar si esa finalidad quedaba salvaguardada o no por la comparecencia del Abogado y del representante legal de los recurrentes en amparo. Más aún cuando el desistimiento se configura técnicamente como un acto que expresa la voluntad del demandante de abandonar el proceso y que por ello, como ha puesto de manifiesto este Tribunal, ha de tener su causa en una voluntad de apartarse de él, por lo que no cabe presumirlo cuando el demandante manifiesta claramente su decisión de continuarlo o su oposición a la conclusión del mismo (por todas, STC 21/1989, de 31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la decisión que se adopte sobre la admisibilidad de este recurso tras el examen conjunto de los requisitos exigidos en la Ley Orgánica del Tribunal Constitucional, concluimos que no cabe descartar prima facie la existencia de la lesión que se denuncia en el presente proceso constitucional. En razón de ello, se acuerda reponer las actuaciones al momento anterior al del dictado de la providencia de 29 de octubre de 2015, para decidir nuevamente sobre la admisión a trámite de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Ministerio Fiscal, dejando sin efecto la providencia de 29 de octubre de 2015 por la que se acuerda no admitir a trámite el recurso de amparo núm. 3857-2015.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