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marzo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6 de febrero de 2015 tuvo entrada en el Registro General de este Tribunal un oficio de la Sección Segunda de la Sala de lo Contencioso-Administrativo del Tribunal Superior de Justicia de Castilla-La Mancha, al que se acompaña, junto al testimonio del procedimiento ordinario núm. 123-2011, el Auto de 12 de enero de 2015,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persona física, propietaria de fincas afectadas por el proyecto de expropiación derivado del “proyecto de singular interés Parque Industrial y Tecnológico de Illescas”, recurre en vía contencioso-administrativa la resolución del Jurado regional de valoraciones de la Junta de Comunidades de Castilla-La Mancha que fijó el justiprecio de las fincas, que se encontraban en situación de rústicas.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de 24 de noviembre de 2014, por la que,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consideró pertinente el planteamiento de la cuestión de inconstitucionalidad respecto de los arts. 23.2, en relación con el art. 12, y 25 del Real Decreto Legislativo 2/2008, por su aparente contradicción con 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se opuso al planteamiento de la cuestión por lo que hace a los arts. 23.1 y 23.2 del Real Decreto Legislativo 2/2008, con el argumento de que la STC 141/2014, de 11 de septiembre, no los había declarado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actor consideró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de 12 de enero de 2015,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luego de referirse a los antecedentes de hecho del caso y de transcribir los preceptos cuestionados, aborda los requisitos de procedimiento. Expone que se ha dado traslado a las partes de la cuestión una vez conclusas las actuaciones y, respecto del juicio de relevancia, dice que “los preceptos cuestionados son directamente aplicables al caso pues establecen las normas imperativas de valoración del suelo en una expropiación, que es sobre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el Jurado Regional de Valoraciones tasó los bienes haciendo aplicación del art. 23 en sus apartados 1 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proyecto de singular interés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limitados por las reglas que al efecto se contienen en la actual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aunque nada hay de inconstitucional en que la Ley pueda establecer unos métodos de valoración determinados u otros, “sí afirmamos que será difícilmente constitucional cualquier método que de manera manifiesta impida dar con un valor real, valor que a nuestro juicio equivale a un valor que sea próximo al del mercado propio del bien de que se trate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Solo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contra Reino Unido—, 9 de diciembre de 1994 —caso de los Santos Monasterios Griegos contra Grecia—, 4 de agosto de 2009 —caso Perdigao contra Portugal—, 4 de noviembre de 2010, 9 de octubre de 2003 o 26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 no alcance la categoría valorativa de “suelo urbanizado” y siga en la de “suelo rural”. Y concluye que “la igualación de todas las anteriores situaciones bajo una misma categoría y su valoración mediante un sistema —el de capitalización de rentas agrarias del art. 23.1 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refiriéndose primero al art. 23 y luego al art.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proyecto de singular interés que motiva la expropiación; y que el propio proyecto de singular interés valoraba en 25 €/m2”.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proyecto de singular interés declaraba. Esta es la prueba, a nuestro juicio, de que el sistema establecido por la Ley no es hábil para hallar el valor real del bien ni aun aproximadamente y que, por consiguiente, puede resultar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termina este epígrafe afirmando que “la Sala desea en cualquier caso dejar claro qué es lo que entiende por ‘valoración de expectativas urbanísticas’, a fin de aclarar que no está defendiendo que se deban valorar puras hipótesis, valores no reales o perjuicios meramente inciertos o futuros…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aquél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proyecto de singular interés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 33.3 CE y el 14 CE”. Y sobre la constitucionalidad del régimen previsto en el artículo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incluye un epígrafe en el que la Sala se hace eco de la STC 141/2014 en los siguientes términos: “no vamos a negar el importante alcance que tiene la citada resolución … No obstante, entendemos que la citada sentencia no agota el debate aquí planteado; la misma sentencia se encarga de recordarnos que su decisión es como respuesta a la concreta manera en que se ha planteado el recurso”. Recuerda, en concreto, que la STC 141/2014 dijo que “es pertinente recordar que esta conclusión no cierra en modo alguno el paso a ulteriores pretensiones de los particulares ante la jurisdicción ordinaria, si estimaran que la concreta aplicación de los criterios de valoración lesiona sus derechos. En consecuencia y por esta segunda vía, la duda de constitucionalidad que pudiera suscitar dicha aplicación puede ser sometida, siempre que se aporten los necesarios elementos de juicio, a este Tribunal, toda vez que el art. 38.2 de la Ley Orgánica del Tribunal Constitucional (LOTC) ‘permite la sucesión entre recurso desestimado y cuestión de inconstitucionalidad sobre igual objeto, esto es, frente al mismo precepto legal y con fundamento en la infracción ‘de idéntico precepto constitucional’’ (STC 319/1993, de 27 de octubre, FJ 2)”. Y concluye que “precisamente en el caso de autos concurren, a nuestro modo de ver, circunstancias específicas que nos llevan a afirmar que la aplicación de los criterios legales de valoración lesionan los derechos constitucionales de los afectados”. Y añade que “tampoco el Tribunal Constitucional se pronuncia sobre la constitucionalidad del art. 25.1”.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diciembre de 2015, la Sección Segunda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la pérdida de objeto de la cuestión de inconstitucionalidad respecto al art. 25.2 a) del Real Decreto Legislativo 2/2008 y de su carácter notoriamente infundado (por efecto de lo resuelto en la STC 218/2015, de 22 de octubre) respecto a los otros preceptos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4 de febrero de 2016, en el que afirma que la presente cuestión de inconstitucionalidad debe ser resuelta siguiendo la dicción de los Autos de 19 de enero de 2016 dictados por este Tribunal en las cuestiones de inconstitucionalidad 6246-2014, 7766-2014, 7476-2014 y 7560-2014, entre otros, pues parten de los mismos presupuestos tanto respecto de los preceptos cuestionados del Real Decreto Legislativo 2/2008 como de los preceptos constitucionales con los que, en su caso, entrarían en contradicción,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lo afirmado en los mismos concluye que procede declarar la inadmisión de la presente cuestión de inconstitucionalidad por pérdida sobrevenida de objeto de la presente cuestión de inconstitucionalidad respecto de los arts. 23.1 a), en los términos de la STC 141/2014, y 25.2 a) del Real Decreto Legislativo 2/2008, y declarar manifiestamente infundada la presente cuestión de inconstitucionalidad respecto de los arts. 12, 23.2 y 25.1 del Real Decreto Legislativo 2/2008.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que plantea la cuestión considera que el art. 23.1 a) del Real Decreto Legislativo 2/2008 establece un método de valoración para el suelo en situación básica de rural ex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el Tribunal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partiendo de lo resuelto en los AATC 6/2016, 7/2016, 8/2016 y 10/2016, de 19 de enero, considera que procede declarar la inadmisión de la presente cuestión de inconstitucionalidad por pérdida sobrevenida de objeto respecto de los arts. 23.1 a), en los términos de la STC 141/2014, y 25.2 a) del Real Decreto Legislativo 2/2008, y declarar manifiestamente infundada la presente cuestión de inconstitucionalidad respecto de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esos preceptos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25.2 a) del Real Decreto Legislativo 2/2008 ha sido declarado inconstitucional y nulo por la STC 218/2015, de 22 de octubre. El art. 164 CE, y también el art. 38 LOTC, disponen que las Sentencias del Tribunal Constitucional que declaren la inconstitucionalidad de una ley tengan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procede acordar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Real Decreto Legislativo 2/2008, que la Sala descarta implícitamente sea el que concurre en el supuesto que ha dado origen a esta cuestión, en el que el propietario del suelo valorado ha sido privado por completo de su propiedad, a causa de la expropiación en favor de la beneficiaria. De ahí que el art. 25.2.b) del Real Decreto Legislativo 2/2008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