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2015 entró en el Registro General de este Tribunal un escrito de la Sección Segunda de la Sala de lo Contencioso-Administrativo del Tribunal Superior de Justicia de Galicia, al que se acompaña, junto al testimonio del recurso ordinario 4576-2011,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mercantil Xardin das Burgas, S.A., alegando su interés legítimo y no el ejercicio de la acción pública, impugna dicho Decreto 187/2011 porque incluye en la suspensión y ordenación provisional “el ámbito que el Concello identifica como ‘modificación puntual núm. 28 del PXOM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núm. 4576-2011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STS de 5 de febrero de 2014 fue aportada por la parte actora a los recursos ordinarios núms. 4522-2011 y 4523-2011, que también se dirigían contra el Decreto 187/2011 y que han dado lugar a las cuestiones de inconstitucionalidad núms.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de la Ley Orgánica del Tribunal Constitucional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de inconstitucionalidad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5 de octubre de 2015, apoya el planteamiento de la cuestión en los términos expuestos en la providencia por la que se le otorga esta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que se desarrolla en un razonamiento jurídico único, comienza con la transcripción del art. 96 de la Ley 9/2002. Luego afirma que el art. 96 de la Ley 9/2002 no contiene un trámite de información pública y a continuación transcribe el art. 11 del texto refundido de la Ley de suelo (“todos los instrumentos de ordenación territorial y de ordenación y ejecución urbanísticas… deben ser sometidos al trámite de información pública en los términos y por el plazo que establezca la legislación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párrafo dice: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cuarto párrafo comienza diciendo que “de la ausencia de dicho trámite pudiera deducirse una inconstitucionalidad sobrevenida, por infracción de lo establecido en el art. 149.1.1, 13, 18 y 23 CE”, preceptos que transcribe. Acto seguido dice que: “y ello como consecuencia de la naturaleza básica de la referida normativa estatal, pues ello en relación con el objeto del presente recurso, el Decreto 187/2011, por el que la Consellería de Consellería de Medio Ambiente, Territorio e Infraestructuras acordó las suspensión parcial de la vigencia del plan general de ordenación municipal de Ourense 1986, así como la ordenación urbanística provisional hasta la entrada en vigor del nuevo planeamiento, puesto que se interesa por la parte demandante la anulación de este decreto. Y partiendo del criterio contenido en la STS 5 de febrero de 2014, estimatoria del recurso de esta Sala y Sección de 20 de enero de 2011, al considerar que a pesar del carácter de la ordenación provisional, es preceptivo el trámite de la información pública por tratarse de una disposición general (arts. 9.2 y 105 CE, 6.1 de la Ley 6/1998 y 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quinto dice que “no cabe aceptar que no se aprecie que la contradicción sea efectiva e insalvable porque el legislador autonómico ha establecido a través de este precepto un procedimiento especial, como puede hacer en materias de su competencia”. Y dice también que “finalmente, y en relación a la naturaleza de medida cautelar de la suspensión del planeamiento, en la STC (sic) así se considera, pero ello es en el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pero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párrafo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LOTC,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en este Tribunal el 31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aunque en los escritos mediante los que las partes evacuan el trámite de audiencia ex art. 35 LOTC, así como en la Sentencia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mediante la aplicación de las previsiones establecidas en el art. 86 de la Ley 30/1992 … en el art. 11 [del texto refundido de la Ley de suelo]… o, incluso, en el art. 85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Concello de Ourense y el Letrado de la Xunta de Galicia mantienen que el art. 96 de la Ley 9/2002 es incompatible con el art. 11 del texto refundido de la Ley de suelo, pero que ello no supone la inconstitucionalidad del primero porque no regula una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 1 de la disposición final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que el art. 11.1 del texto refundido de la Ley de suelo resultase amparado por los títulos competenciales aludidos en el núm.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“no cabe aceptar que no se aprecie que la contradicción sea efectiva e insalvable porque el legislador autonómico ha establecido a través de este precepto un procedimiento especial, como puede hacer en materias de su competencia”. Sin embargo, un análisis pormenorizado de la cuestión habría exigido, aparte de examinar el alcance de la competencia autonómica en materia de urbanismo, analizar el concreto contenido normativo del art. 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ATC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núms. 1, 13, 18 y 23 del art. 149.1 CE. Examinar esta cuestión requiere partir de que el artículo 11.1,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227/1988 y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período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6713-2015,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