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julio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julio de 2015, don Javier García Espinar, actuando en su propio nombre y representación en su condición de Licenciado en Derecho, presentó demanda de amparo contra la providencia y Auto de la Sección de ejecuciones y extensiones de efectos grupo 7 del Tribunal Superior de Justicia de Madrid, en ejecución de títulos judiciales núm. 1997-2013, por los que, respectivamente, se acuerda continuar el procedimiento y se desestima el recurso de reposición interpuesto frente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dieron lugar a este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Sentencia de la Sección Tercera del Tribunal Supremo, de 14 de diciembre de 2012, se estimó parcialmente el recurso de casación (núm. 5837-2010) que había sido interpuesto contra la Sentencia del Tribunal Superior de Justicia de Madrid (Sala de lo Contencioso-Administrativo, Sección Séptima) de 18 julio, que a su vez había desestimado el recurso interpuesto frente a la resolución de 5 de septiembre de 2005 de la Dirección General de la Policía, por la que se convoca oposición libre para cubrir plazas de alumnos del centro de formación como aspirantes a ingreso en la escala ejecutiva.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Sentencia, el Tribunal Supremo estimó, en aplicación de su jurisprudencia, que el hecho de que el solicitante hubiera sido excluido de la citada convocatoria por razón de edad suponía una discriminación no amparada por justificación objetiva y razonable por lo que infringía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estimación del recurso se circunscribió, según se indica en el fallo, al ámbito determinado por la cuestión discutida en este proceso, esto es, a la fijación de la edad máxima de treinta años para participar, por el turno libre, en el proceso selectivo convocado para acceder a la escala ejecutiva del Cuerpo Nacional de Policía. Se le reconoció así al demandante su derecho a realizar las pruebas previstas en la convocatoria, estableciendo que la Administración debía arbitrar las medidas necesarias para facilitar dicha participación.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fase de ejecución de la Sentencia, el demandante se opuso a la forma en la que la misma pretendía ser ejecutada por la Administración, que en esencia consistía en abrir una convocatoria específica y extraordinaria para quienes quedaron excluidos por razón de la edad, lo que a su juicio resultaba también discriminatorio. Mediante resolución de 4 de abril de 2013, la Dirección General de la Policía convocó a tal efecto a los interesados, que no comparecieron, por lo que se les tuvo por excluidos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escrito de 5 de noviembre de 2013, don Javier García Espinar solicitó la suspensión del procedimiento, al existir procedimientos pendientes de resolución que consideró podían tener trascendencia para la resolución del procedimiento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Auto de 5 de diciembre de 2013, el Tribunal Superior de Justicia de Madrid tuvo por ejecutada la Sentencia, desestimando la solicitud de suspensión al entender que la Sentencia del Tribunal Supremo de 14 de diciembre de 2012 había sido cumplida en sus propios términos, toda vez que la misma “no dice en absoluto que los recurrentes hayan de ser declarados aptos en el proceso selectivo, ni que éste haya de ser llevado a cabo de manera distinta a cómo se hizo”.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el anterior Auto de 5 de diciembre del Tribunal Superior de Justicia de Madrid, el demandante interpuso recurso de reposición, que fue desestimado mediante Auto del 11 de abril de 2014, dictado por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Frente al Auto anterior, el demandante solicitó complemento del mismo, que fue desestimado mediante Auto de 23 de junio de 2014 de la misma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 la finalidad de continuar el procedimiento, y recurrir el anterior Auto de 23 de junio, el Sr. García Espinar solicitó beneficio de justicia gratuita, al mismo tiempo que la suspensión del procedimiento de ejecución mientras se resolvía dicha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providencia de 18 de septiembre de 2014 se acordó que no procedía la suspensión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Frente a la anterior providencia de continuación del procedimiento, el Sr. García Espinar solicitó aclaración, lo que se llevó a efecto mediante el Auto de 7 de enero de 2015, en el que se reiteró el acuerdo de continuación, razonándose que no concurrían en este supuesto las excepciones que contempla el art. 16 de la Ley de asistencia jurídica gratuita frente a la regla general en virtud de la cual el reconocimiento a dicho derecho no suspenderá el curso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Aclarada la citada providencia mediante el citado Auto de 7 de enero de 2015, el recurrente interpuso recurso de reposición frente a la misma, que fue desestimado mediante Auto de 27 de abril de 2015, en el que se acuerda no acceder a la solicitud de nulidad del Auto de 7 de enero de 2015, reiterándose que no concurren las excepciones que contempla el art. 16 de la Ley de asistencia jurídica gratuita frente a la regla general en virtud de la cual el reconocimiento a dicho derecho no suspenderá el curso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Con carácter previo, mediante resolución de 15 de diciembre de 2014, dictada por la comisión de asistencia jurídica gratuita de la Comunidad de Madrid se había denegado el derecho de asistencia gratuita, por no darse los requisitos del art. 3 de la Ley de asistencia jurídica gratuita así como tampoco el reconocimiento excepcional del derecho, de acuerdo con lo dispuesto en el artículo 5. Recurrida la anterior, mediante Auto de 26 de mayo de 2015 se anuló la citada resolución, acordándose el reconocimiento del derecho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en amparo atribuye a los Autos de 7 de enero y de 27 de abril de 2015, la lesión de su derecho de acceso a los recursos (art. 24.1 CE), además de vulnerar el derecho a la tutela judicial efectiva en la práctica toda vez que la justicia, de acuerdo con el artículo 119 de la Constitución, deberá ser gratuita para quienes acrediten insuficiencia de recursos para litigar. Se añade que las actuaciones impugnadas suponen una vulneración de su derecho fundamental a la igualdad ante la ley produciendo discriminación por motivos económicos en el acceso a la justicia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2 de diciembre de 2015, acordó no admitir el recurso a trámite, con arreglo a lo previsto en el art. 50.1 a) de la Ley Orgánica del Tribunal Constitucional (LOTC), dada la manifiesta inexistencia de violación de un derecho fundamental tutelable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14 de enero de 2016, interpuso recurso de súplica contra dicha providencia, solicitando que fuera dejada sin efecto y se repusieran las actuaciones para que se decidiera nuevamente sobre la admisión de la demanda de amparo. Se argumenta que las resoluciones que se impugnan en amparo y que denegaron la suspensión del proceso de ejecución, no contienen realmente una motivación suficiente que permita conocer las razones en las que el Tribunal basa su decisión de no acceder a la suspensión del curso del proceso, toda vez que los Autos recurridos se limitan a reproducir el art. 16 de la Ley de asistencia jurídica gratuita. Añade que, a la luz de dicho artículo, la solicitud de suspensión del plazo para formular incidente de nulidad de actuaciones puede entenderse comprendida en el supuesto excepcional del párrafo segundo del artículo 16 de dicha Ley, que se refiere a la necesidad de evitar que el transcurso de los plazos pueda provocar la preclusión de un trámite o la indefensión de cualquiera de las partes. La falta de motivación de las citadas resoluciones judiciales puede considerase, al menos de modo aparente, arbitrarias, o no fundadas en derecho, invocando para ello la doctrina de la STC 204/2012, de 12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 la Sección Primera de este Tribunal, por diligencia de ordenación de 15 de enero de 2016, acordó dar traslado del recurso de súplica para alegaciones a la demandante, quien por escrito registrado el 26 de enero de 2016 se adhirió en todos sus términos a los argumentos esgrimidos en dicho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sustenta su recurso de súplica en que los Autos de 7 de enero y de 27 de abril ambos de 2015, que denegaron la suspensión del proceso de ejecución mientras se tramitaba la solicitud de justicia gratuita, carecerían de motivación suficiente que permita conocer las razones en las que el Tribunal basa su decisión, toda vez que se habrían limitado a reproducir el art. 16 de la Ley de asistencia jurídica gratuita. Haciendo invocación de la doctrina contenida en la STC 204/2012, de 12 de noviembre, considera que a la luz de dicha falta de motivación, las citadas resoluciones judiciales pueden considerase, al menos de modo aparente, arbitrarias o no fundadas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las resoluciones impugnadas denegaron la suspensión del procedimiento mientras se tramitaba la solicitud de justicia gratuita. Tal ausencia de suspensión habría lesionado, según la demanda, su derecho a la tutela judicial efectiva (art. 24.1 CE), en su vertiente de acceso a los recursos legalmente previstos, en relación con el derecho a la asistencia jurídica gratuita reconocida en el art. 119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alcance del citado derecho, debe recordarse nuestra consolidada doctrina, en el sentido de que el art. 119 CE consagra un derecho constitucional de carácter instrumental respecto del derecho de acceso a la jurisdicción reconocido en el art. 24.1 CE, que en todo caso hemos calificado “como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 la amplia libertad de configuración legal que resulta del primer inciso del art. 119 CE no es absoluta, pues el inciso segundo de dicho precepto explícitamente declara que la gratuidad de la justicia se reconocerá en todo caso, respecto de quienes acrediten insuficiencia de recursos para litigar” (SSTC 95/2003, de 22 de mayo, FJ 4; 128/2014, de 21 de julio, FJ 3, y 90/2015, de 11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derecho de acceso a los recursos (art. 24.1 CE) es un derecho de configuración legal que, con la excepción de los recursos contra sentencias penales de condena, se incorpora a aquel derecho en las condiciones fijadas por cada una de las leyes procesales (SSTC 71/2002, de 8 de abril, FJ 3, y 191/2005, de 18 de julio, FJ 3). Ello se refleja en la función de control atribuida a este Tribunal respecto de las resoluciones judiciales que vedan el paso a dicha fase, pues siendo la decisión sobre la admisión o no del recurso y la comprobación del cumplimento de los requisitos establecidos para ello una cuestión de legalidad ordinaria que compete, según dispone el art. 117.3 CE, exclusivamente a los jueces y tribunales, aquel control se limita a verificar si la interpretación o aplicación de la norma que se adopte es o no arbitraria, notoriamente irrazonable o incurra en un error patente (por todas, STC 7/2015, de 22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la anterior doctrina, debemos reiterar la ausencia de lesión, a la luz de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demandante ha tenido efectivo acceso a todos los recursos útiles para su pretensión, toda vez que como se pone de manifiesto con el propio relato de hechos de la demanda, el Auto en el que se tiene por ejecutada la Sentencia fue recurrido dos veces, dando lugar a los Autos de 11 abril y 23 junio de 2014. Por tanto, es dudoso que la negativa a suspender el procedimiento le haya hecho realmente perder la oportunidad de recurrir las resoluciones judiciales que pretendía combatir. Faltaría por lo tanto una premisa básica inherente a la lesión que se invoca, al no constar que se le haya impedido acceder al recurso legalmente previsto.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sin perjuicio de lo anterior, debemos rechazar que la motivación de las resoluciones citadas sea lesiva del art. 24.1 CE en los términos invocados, y de acuerdo con la doctrina que ha quedado expuesta. En particular la última, Auto de 27 de abril de 2015, expone el contenido del art. 16 de la Ley de asistencia jurídica gratuita y considera de forma motivada que no se dan las circunstancias necesarias para que se exceptúe la regla general de que dicha solicitud no suspenderá el curso del proceso. Se contiene por ello una motivación expresa que no se puede considerar ni arbitraria, ni notoriamente irrazonable, ni que haya incurrido en error patente.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expuesto, debe desestimarse el recurso de súplica interpuesto por el Ministerio Fiscal, ya que, a pesar de las legítimas discrepancias que pueden mostrar tanto el recurrente como el Ministerio Fiscal sobre el razonamiento expuesto en los citados Autos, no ha quedado constatada la lesión en los términos alegados en la demanda, y de acuerdo con nuestra consolidada doctrina.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 de diciembre de 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