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5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diciembre de 2015, la Procuradora de los Tribunales doña Patricia Rosch Iglesias, en nombre y representación de Agrobionest, S.L., defendida por el Letrado don Eduardo Cruz Arcos, interpuso demanda de amparo contra los Autos de 23 de julio de 2013 y de 8 de octubre de 2013, dictados por la Sección Sexta de la Audiencia Provincial de Sevilla en el rollo de apelación núm. 5740-2013, y contra el Auto de 21 de octubre de 2015, de la Sala de lo Civil del Tribunal Supremo, que acordó inadmitir a trámite el recurso de casación y el recurso extraordinario por infracción procesal contra la Sentencia de 9 de abril de 2014, de la Sección Sexta de la Audiencia Provincial de Sevilla, resolutoria del recurso de apelación interpuesto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sociedad Agrobionest, S.L., interpuso demanda de juicio ordinario contra la Agencia Andaluza del Agua, en ejercicio de la acción declarativa de dominio de las aguas provenientes de cuatro pozos situados en una finca rústica. En el juicio oral, dos testigos declararon que los anteriores propietarios habían alumbrado los pozos con autorización administrativa y los inscribieron en el registro de minas, para ponerlos a funcionar con fines agrícolas.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Entendiendo que ese hecho era relevante para la suerte de la acción ejercitada y que era de nueva noticia, se solicitó del Juez la incoación del incidente de hechos nuevos, previsto por el art. 286 de la Ley de enjuiciamiento civil (LEC). Finalmente, el Juzgado de Primera Instancia núm. 21 de Sevilla dictó Sentencia de 12 de diciembre de 2012, desestimatoria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sociedad demandante interpuso recurso de apelación contra la Sentencia, y aportó un documento oficial de nueva confección, expedido por el Jefe del Servicio de industria, energía y minas de la Junta de Andalucía con posterioridad a la celebración del juicio. Según la demanda, el documento se aportaba para combatir el hecho nuevo al que se hace alusión en la letra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23 de julio de 2013, la Sección Sexta de la Audiencia Provincial de Sevilla acordó no admitir el documento, decisión que sería confirmada en recurso de reposición (Auto de 8 de octubre de 2013). A juicio de la Audiencia Provincial, en segunda instancia sólo cabe aportar documentos que no se pudieron aportar en la primera instancia (art. 460.2, I a III LEC), lo que no se daba en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Sentencia de 9 de abril de 2014 se desestimó el recurso de apelación. La desestimación se basó en el hecho de dar por probado que los pozos no existían al tiempo de la expropiación, y que sólo constaba documentalmente haberse realizado sondeos pero no haberse explotados los pozos, por lo que no estaba acreditado el afloramiento de aguas, que es lo que hubiera sido determinante del reconocimiento del domino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sociedad demandante interpuso de forma conjunta los recursos extraordinario por infracción procesal y de casación contra la Sentencia de segunda instancia, por los cauces del art. 477.2.3 LEC (interés casacional), pero los dos fueron inadmitidos por el Auto de la Sala de lo Civil del Tribunal Supremo de 22 de octubre de 2015, que cerró la vía judicial. El único motivo de casación invocado era la infracción de la disposición transitoria tercera del Real Decreto Legislativo 1/2001, de 20 de julio, por el que se aprueba el texto refundido de la Ley de aguas (relativa a la titularidad de derechos sobre aguas privadas procedentes de pozos o galerías, derivados de la Ley de 13 de junio de 1879); también, los artículos 22 y 23 de la Ley de aguas de 1879 y los artículos 417 y 418 del Código civil, y la doctrina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Sala de lo Civil del Tribunal Supremo, el escrito de recurso de casación incurría en defectos determinantes de su inadmisión a trámite, lo que conducía consecuentemente a la inadmisión del recurso extraordinario por infracción procesal, de acuerdo con lo establecido por la disposición final decimosexta de la Ley de enjuiciamiento civil: el recurso no indicaba en su encabezamiento el motivo de la doctrina que se solicita que se fije o se declare infringida o desconocida, debiendo acudirse al cuerpo del motivo para poder deducirlo; además de lo anterior, que por sí era suficiente para entender inadmisible el recurso de casación, la Sala no se apreció oposición entre la doctrina invocada en el recurso y lo decidido por la Sentencia recurrida. La parte no habría satisfecho la carga de argumentar cómo, cuándo y en qué sentido la Sentencia recurrida había vulnerado o infringido la jurisprudencia. Por último, según el Auto, la recurrente no identificó ninguna resolución susceptible de fundamentar el interés casacional porque las citadas, aun referidas a la adquisición del derecho de aprovechamiento de aguas, no guardaban identidad con el supuesto fáctico ni paralelismo con el problema jurídico. Se invocó también en el recurso de casación la infracción de la doctrina de la Sala tercera del Tribunal Supremo, pero, basándose en otras sentencias de la Sala de lo Civil, esta última consideró inadmisible acreditar el interés casacional con Sentencias de otras Salas del Tribunal Supremo, pues debe tratarse de doctrina de la Sala correspondiente al mismo orden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tras las alegaciones destinadas a justificar la especial trascendencia constitucional del recurso, la mercantil demandante sostiene, como única queja, que se ha vulnerado su derecho a utilizar los medios de prueba pertinentes para la defensa (art. 24.2 CE), como consecuencia de la inadmisión de la prueba documental propuesta en segunda instancia, lo que hubiera sido relevante para alterar el sentido del fallo de apelación. Aduce que los Autos de la Audiencia Provincial recurridos en amparo adolecen de excesivo rigorismo y formalismo cuando deciden no admitir a trámite la prueba documental propuesta en segunda instancia, contraviniendo el espíritu de la norma constitucional y a su interpretación por este Tribunal, y que ésta era pertinente y decisiva para la resolución del proceso. Se entiende que, de acuerdo con el art. 460.2, 3 LEC, la prueba debió ser admitida, interpretada la norma en conformidad con el art. 270 LEC, razón por la que se suplica la declaración de nulidad de las resoluciones recurridas con retroacción al momento anterior al dictado del Auto de 23 de julio de 2013 por la Audiencia Provincial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13 de abril de 2016, declaró la inadmisión del recurso de amparo, con arreglo a lo previsto en el art. 50.1 a) de la Ley Orgánica del Tribunal Constitucional (LOTC), porque no se han agotado debidamente todos los medios de impugnación dentro de la vía judicial,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día 6 de mayo de 2016, interpuso recurso de súplica contra la referida providencia de inadmisión, solicitando que fuera dejada sin efecto y se repusieran las actuaciones al momento anterior a dictarse la citada resolución, a los efectos de decidir nuevamente sobre la admisión de la demanda de amparo. Argumenta que el contenido del recurso de amparo se circunscribe a la vulneración del derecho a la prueba del art. 24.2 CE, que fue denegada a la recurrente por la Audiencia Provincial, y sobre la cual no tuvo respuesta por parte del Tribunal Supremo como consecuencia de la inadmisión del recurso extraordinario por infracción procesal en el que se denunciaba ese hecho, debido a la inadmisión del recurso de casación. Asimismo, se afirma que la petición de amparo se dirige contra esa concreta resolución por infracción del derecho a la prueba, pero no contra el Auto de la Sala de lo Civil del Tribunal Supremo que inadmitió los dos recursos extraordinarios. Por todo ello, concluye el Ministerio Fiscal que el recurrente habría agotado adecuadamente los medios de impugnación tendentes a la reparación del derecho en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9 de mayo de 2016, la Secretaría de Justicia de la Sala Primera dio traslado del escrito del Ministerio Fiscal a la representación procesal del demandante de amparo, a fin de que, en el plazo de tres días, pudiera alegar lo que estimase pertinente en relación al recurso de súplica formulado de conformidad con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18 de mayo de 2016, la representación procesal del recurrente evacuó dicho trámite, adhiriéndose a las alegaciones del Ministerio Fiscal e interesando la estimación del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este Tribunal acordó por unanimidad la inadmisión de la demanda de amparo en providencia de 13 de abril de 2016, al entender que concurría el óbice procesal de falta de agotamiento de los recursos en la vía judicial. El Fiscal recurrió en súplica dicha providencia por considerar que no concurría dicha causa de inadmisión de la demanda, puesto que la sociedad recurrente agotó todos los medios de impugnación disponibles antes de acudir ante este Tribunal Constitucional a través del recurso de amparo. A esta argumentación se adhiere el recurrente, interesando en consecuencia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reseñado anteriormente, la recurrente interpuso recurso de casación y recurso extraordinario por infracción procesal en un asunto que no alcanzaba la cuantía de 600.000 €, por lo que la única manera de que el Tribunal Supremo entrase a conocer del segundo —y, con ello, del motivo que sirve ahora de fundamento a la demanda de amparo— hubiera sido previa admisión a trámite del recurso de casación, de conformidad con lo establecido por la disposición final decimosexta, párrafo 1 regla 5 de la Ley de enjuiciamiento civil (LEC). Ello no fue sin embargo posible dado que, como argumenta el Auto de la Sala de lo Civil del Tribunal Supremo de 22 de octubre de 2015 (y la parte recurrente no combatió, ni en incidente extraordinario de nulidad de actuaciones ni ahora en el recurso de amparo), el recurso de casación era inadmisible, al no poderse apreciar la existencia de interés casacional, pues las resoluciones invocadas por la recurrente no se referían al supuesto de hecho resuelto por la Sentencia impugnada; se ignoró igualmente que la decisión de segunda instancia se fundaba en dos Sentencias del Tribunal Supremo, es decir, que no sólo no se infringió la doctrina, sino que la Sentencia se acogió a la doctrina de la Sala. En resumen, fue el defectuoso planteamiento del recurso de casación (hecho que, insistimos, no combate la demanda de amparo) lo que determinó su inadmisión y, con ello, imposibilitó que la Sala Primera entrase a conocer del recurso extraordinario por infracción procesal y que impidió que la propia jurisdicción ordinaria pusiera remedio, en su caso, a la vulneración que ahora se denuncia. Nos encontramos, pues, ante un agotamiento defectuoso de la vía y, como hemos señalado reiteradamente, “el agotamiento defectuoso de la vía judicial equivale a su falta de agotamiento” (STC 93/2002, de 22 de abril, FJ 3; y ATC 198/2010, de 21 de diciembre, FJ 6). Lo que significa que “cuando la vía judicial precedente se frustra porque el recurso intentado no resulta admisible ha de entenderse incumplido, en principio, el requisito de su agotamiento, deviniendo impracticable, por tanto, la vía de amparo ante este Tribunal (STC 133/2001, de 13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suma, examinados los argumentos del recurso de súplica interpuesto por el Ministerio Fiscal, la Sección confirma su decisión de no admitir el recurso de amparo, dada la falta de agotamiento de la vía judicial, violación que, de acuerdo con el art. 44.1 de la Ley Orgánica del Tribunal Constitucional, es condición para que este Tribunal pueda ejercer dicha tutela.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13 de abril de 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