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150</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6 de septiembre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4 de septiembre de 2016, el Procurador de los Tribunales don Javier Cuevas Rivas, en nombre y representación de don Arnaldo Otegi Mondragón interpuso recurso de amparo electoral contra el acuerdo de la Junta Electoral del Territorio Histórico de Gipuzkoa de 29 de agosto de 2016, que desestima el recurso de reposición interpuesto frente al acuerdo de dicha Junta 23 de agosto de 2016, excluyendo al hoy recurrente en amparo como candidato de la candidatura presentada por EH Bildu por el territorio histórico de Gipuzkoa para las elecciones al Parlamento Vasco del 25 de septiembre de 2016, así como frente a la Sentencia del Juzgado de lo Contencioso-Administrativo núm. 2 de Donostia de 2 de septiembre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fundamenta la demanda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hoy recurrente en amparo integraba como candidato 01 la candidatura Euskal Herria Bildu (EH Bildu) por el territorio histórico de Gipuzkoa para las elecciones al Parlamento Vasco del 25 de septiembre de 2016 (publicada en el “•Boletín Oficial de País Vasco” de 24 de agosto de 2016 —“BOPV” núm. 160—).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acuerdo de 23 de agosto de 2016 la Junta electoral del territorio histórico de Gipuzkoa puso en conocimiento del representante territorial de la candidatura de EH Bildu “la irregularidad advertida” en relación con el recurrente, “al encontrarse condenado a la pena de inhabilitación, para el ejercicio del derecho de sufragio pasivo, desde el 4/09/2014 hasta el 28/02/2021, conforme a la liquidación de Condena firme practicada en la Ejecutoria núm. 21/2012, dimanante del rollo núm. 95-2009, de la Sección Cuarta de la Audiencia Nacional, y de todo ello, se deduce que el candidato D. Arnaldo Otegi Mondragón, se encuentra incurso en la causa de inelegibilidad prevista en el art. 4.7 b de la Ley 5/1990, de 15 de junio, de Elecciones al Parlamento Vasco, en relación al art. 6.2 b de la ley Orgánica 5/1985, de Régimen Electoral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Interpuesto recurso de reposición contra el acuerdo de 23 de agosto citado, la Junta electoral dictó nuevo acuerdo de fecha 29 de agosto de 2016, desestimándolo y procediendo a la proclamación de la candidatura de EH Bildu, excluyendo de la misma al hoy recurrente en amparo como candidato, “quedando configurada la citada candidatura, con arreglo a lo dispuesto en el art. 65.2 ley 5/1990”. La relación de candidaturas proclamadas se publicó en el “Boletín Oficial del País Vasco” núm. 164, de 30 de agosto de 2016, conforme a lo establecido en dicha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dicho acuerdo, se interpuso por parte de la representación procesal de don Arnaldo Otegi Mondragón recurso contencioso-administrativo ante el Juzgado de lo Contencioso-Administrativo núm. 2 de Donostia, alegando que la pena de inhabilitación para el ejercicio del derecho de sufragio pasivo debía considerarse extinguida pues, como pena accesoria de la pena de prisión de seis años y seis meses —que se había extinguido el día 1 de marzo de 2016— habría de correr la misma suerte que esta. El recurso fue desestimado por Sentencia de 2 de septiembre de 2016, notificada ese mismo día. En dicha resolución, comienza el Juzgado exponiendo los principales hitos del procedimiento de ejecución de la Sentencia de 16 de septiembre de 2011, de la Sala de lo Penal, Sección Cuarta, de la Audiencia Nacional, dictada en el rollo de Sala núm. 95-2009, por la que se condenaba al hoy recurrente en amparo como autor de un delito de pertenencia a organización terrorista, en grado de dirigente, a las penas de diez años de prisión e inhabilitación especial para el ejercicio del derecho de sufragio pasivo por igual tiempo y que fue revocada parcialmente por la Sentencia del Tribunal Supremo de 7 de mayo de 2012, reduciendo las condenas a seis años y medio, que adquirió firmeza por Auto de 23 de mayo de 2012. De su examen —muy particularmente, de la providencia de 24 de enero de 2013, por la que se aprueba la liquidación de condena de la pena de inhabilitación especial para el ejercicio del derecho de sufragio pasivo— extrae el órgano judicial, de un lado, que el cumplimiento efectivo de la pena de prisión y la de inhabilitación para el ejercicio del derecho de sufragio pasivo no coincide temporalmente porque hasta el 4 de septiembre de 2014 “el penado cumplía pena de inhabilitación absoluta derivada de la ejecutoria núm. 130/2007” de la Sección Tercera de la Sala de lo Penal de la Audiencia Nacional “y con fecha de cumplimiento de 28 de febrero de 2021”.Y de otro lado, señala que, a los efectos que aquí interesan, “la privación del derecho de sufragio pasivo representa una cuestión judicialmente agotada, al haberse examinado ante las instancias oportunas, y haber devenido firme y consentida por el propio recurrente, quien no la recurrió cuando tuvo la oportunidad procesal que el ordenamiento jurídico le otorgaba para hacerlo (y argumentos no le faltaban a la vista de las alegaciones esgrimidas en el seno de este procedimiento), debiendo desestimarse, en consecuencia, el presente recurso contencioso especial, sin necesidad de ulteriores argumentaciones”.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vulneraciones de derechos fundamentales alegadas son, de forma resumida,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Infracción del derecho a la tutela judicial efectiva (art. 24.1 CE), en relación con el principio de legalidad penal consagrado en los artículos 9.3 y 25.1 CE y 7.1 del Convenio europeo para la protección de los derechos humanos y de las libertades fundamentales. Tal infracción se habría producido al considerar que la Sentencia recurrida priva al recurrente del derecho de sufragio pasivo, por entender que tal privación “representa una cuestión judicialmente agotada, al haberse examinado ante las instancias oportunas, y haber devenido firme y consentida por el propio recurrente, quien no la recurrió cuando tuvo la oportunidad que el ordenamiento jurídico le otorgaba para hacerlo”. De esta manera, el Juzgado declina entrar a analizar los motivos alegados en el escrito de recurso contencioso-administrativo, ignorando el principio de legalidad en la ejecución de las penas y el sometimiento que ello conlleva al cumplimiento, en sus estrictos términos, de la Sentencia de 16 de septiembre de 2011 de la Sala de lo Penal de la Audiencia Nacional en la que, de manera expresa e inequívoca, se otorga a la pena de inhabilitación especial para el ejercicio del derecho de sufragio pasivo la naturaleza de pena accesoria de la pena privativa de libertad. De acuerdo con dicha Sentencia, entiende el recurrente que el cumplimiento de la pena de privación del derecho de sufragio pasivo en este caso, como pena accesoria que es, se produjo “durante el tiempo de la condena” y se extinguió con ella el 1 de marzo de 2016. Por el contrario, la liquidación de condena aprobada en fase de ejecución de la Sentencia mediante providencia de 24 de enero de 2013, que fija la fecha de extinción de la pena privativa de derechos para el día 28 de febrero de 2021, altera el mandato de la citada Sentencia de la Audiencia Nacional, al efectuar el cómputo para su cumplimiento como si de una pena principal se tratara. Al respecto, señala el recurrente, que la citada providencia es una resolución judicial firme pero no intangible, no rigiendo para ella la eficacia de la cosa juzgada.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todo ello, entiende la representación procesal del Sr. Otegi que la cuestión de la naturaleza de la pena privativa de derechos impuesta y de su régimen legal son cuestiones cuyo examen es previo para poder enjuiciar desde una perspectiva constitucional la Sentencia objeto del presente recurso de amparo. A este respecto, recuerda —con cita de la STC 1/1997, de 13 de enero, FJ 4— que este Tribunal puede entrar a analizar la interpretación de los preceptos penales realizada por los órganos de la Jurisdicción ordinaria, entre otros supuestos, “cuando restringe indebidamente el libre ejercicio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Partiendo de ahí, de la lectura de las Sentencias recaídas en relación con el Sr. Otegi (cuyo cierre está constituido por la STS de 7 de mayo de 2012, que estimó parcialmente el recurso de casación interpuesto, entre otros, por su representación procesal contra la Sentencia de la Sala de lo Penal de la Audiencia Nacional de 16 de septiembre de 2011) y, conforme a lo establecido en el art. 56 Código penal (CP), se llega a la conclusión de que la pena de inhabilitación especial para el derecho de sufragio pasivo que le fue impuesta es una pena accesoria de la pena de prisión de seis años y seis meses y que su duración debe ser la del tiempo de esta última. Sin embargo, la liquidación aprobada por providencia de la Audiencia Nacional de 24 de enero de 2013 —que esta representación procesal reconoce no haber recurrido en tiempo y forma—, se realizó conjuntamente para las dos penas privativas de derechos impuestas al hoy recurrente en amparo (inhabilitación especial para el ejercicio del derecho de sufragio pasivo e inhabilitación especial para empleo o cargo público), sin tener en cuenta que la pena de inhabilitación especial para empleo o cargo público es pena principal (como figura expresamente en el art. 516.2 CP por el que se condenó al solicitante de amparo) y la inhabilitación especial para el ejercicio del derecho de sufragio pasivo es pena accesoria a la pena privativa de libertad. Tal proceder sería contrario a las exigencias derivadas de lo dispuesto en los arts. 9.3 y 25.1 CE, conforme a los cuales, el cumplimiento de las penas ha de llevarse a cabo con total sumisión a lo establecido en el Código penal y al contenido de la Sentencia correspondiente, como recuerda el tenor literal del art. 3.2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Ataca la representación procesal del recurrente, a continuación, la condición de firmeza de la liquidación de condena practicada, pues de acuerdo con la jurisprudencia del Tribunal Supremo y la doctrina constitucional, a este tipo de resoluciones no les alcanza dicha eficacia. En este sentido, concluye señalando —con cita de lo expresado en la STC 27/1998, de 27 de enero, FJ 3, en relación a una infracción de lo dispuesto en el art. 23.2 CE— que “el aquietamiento ante una infracción de la legalidad no impide que pueda obtenerse la reparación de una ulterior lesión con relevancia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cita de los arts. 54 y siguientes, 32, 79 y 33.6 CP, se mantiene que sea cual sea la duración de una pena privativa de derechos, cuando funciona como accesoria su duración será lo que dure la principal, salvo en los casos en que se disponga otra cosa en el Código penal (art. 33.6 CP). Las penas accesorias —se abunda— no solo durarían lo que dura la principal, sino que se cumplen simultáneamente. Por tanto, en este caso, la extinción sería, por remisión, la correspondiente a la pena de prisión. A título de ejemplo, se acompañan las liquidaciones de condena realizadas en la misma causa penal a las otras cuatro personas condenadas, a las que se impusieron las mismas clases de penas, practicándoseles solamente la liquidación de la pena de inhabilitación especial para empleo o cargo público, al ser pena principal, entendiéndose que la pena accesoria (la inhabilitación especial para el derecho de sufragio) se extinguiría con la pena de prisión. Esta idea se refuerza con la cita de distintos preceptos legales que pondrían de manifiesto la relación de accesoriedad de la inhabilitación especial para el ejercicio del derecho de sufragio pasivo respecto a la pena privativa de libertad [arts. 39 b); 44; 56.1 CP y 6.2 a) y 137 de la Ley Orgánica del régimen electoral general: LOREG], así como de la jurisprudencia del Tribunal Supremo en relación con dicha pena accesoria (se citan, entre otras, las SSTS de 19 de diciembre de 1994, FJ 2; 20 de mayo de 1993, FJ 4; y los AATS de 29 de febrero de 2016 y de 11 de septiembre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hecho de que en este caso se diera a la pena accesoria un tratamiento distinto al otorgado a la pena principal, determinándose que su extinción, en lugar de producirse con la de esta última —el día 1 de marzo de 2016—, se produciría el 28 de febrero de 2021 (esto es, cinco años después) supondría una modificación de la naturaleza accesoria de la pena de inhabilitación especial para el ejercicio del derecho de sufragio pasivo, tal y como fue establecida en la sentencia la Sección Cuarta de la Audiencia Nacional, así como una infracción de la regla general sobre el cumplimiento simultáneo de las penas contenido en el art. 73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Como consecuencia de todo lo dicho anteriormente, considera el recurrente que se ha producido también una infracción del derecho a acceder en condiciones de igualdad a los cargos públicos en su vertiente del ejercicio del derecho de sufragio pasivo art. 23.2 CE. En apoyo de esta alegación, se señalan algunos aspectos generales que esta representación procesal considera de interés, respecto a la doctrina sentada por este Tribunal en relación con los derechos contenidos en el art. 23 CE y, en particular, los de su apartado segundo. Sobre esa base, se señala que la elegibilidad es un derecho de quienes gozan ya de la capacidad jurídica para ser electores, que viene configurado negativamente por las leyes que fijan las causas de inelegibilidad, de manera que no puede negarse esa capacidad para ser elegible a quien, estando en pleno uso de sus derechos políticos, no está incurso en ninguna causa de inelegibilidad, so pena de infringir el art. 23.2 C.E. (STC 144/1999, de 22 de julio, FJ 6). La inelegibilidad definida por la Ley Orgánica del régimen electoral general delimita el derecho, de modo que será ella, en tanto respete el contenido esencial, la decisiva para conocer si se ha producido una privación del derecho electoral pasivo. Las causas de inelegibilidad recogidas en el art. 6.2 LOREG, o en la legislación electoral autonómica, no son numerus clausus sino que hay que añadir las derivadas de determinadas penas previstas en el Código penal, las cuales deberán de ser interpretadas siempre dentro del marco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—continua esta parte procesal—, no cabe la posibilidad de interpretar extensivamente la formulación legal de las causas de inelegibilidad (STC 28/1986, de 20 de febrero, FJ 4). O dicho en otros términos, no cabe reducir materialmente el ámbito del derecho reconocido en el art. 23.2 CE a través de restricciones no previstas formalmente en la norma, pues la previsibilidad de esas limitaciones constituye una de las primeras exigencias dimanantes del mismo (STC 49/1999. de 5 de abril, FJ 5). Y esto es lo que habría ocurrido en el presente supuesto, pues, frente a la efectividad del derecho fundamental del art. 23.2 CE, se antepone una liquidación de condena que además de no gozar del efecto de cosa juzgada —según se razona en el motivo anterior—, se ha efectuado conjuntamente con una pena principal (inhabilitación especial para empleo o cargo público), dándole el mismo tratamiento que a ésta, alterando su carácter accesorio y produciendo el efecto de que finalmente esa pena no se ejecute “durante el tiempo de la condena” —mandato legal de significado y alcance indiscutible para el recurrente—, sino que su extinción se producirá cinco años después de haber finalizado el cumplimiento de la pena privativa de libertad, a pesar de que fue la razón y origen de su imposición y a ella debe ir anudada hasta su completa ejecución. Ello comporta una agravación punitiva para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desde esa perspectiva —se afirma— desde la que debe examinarse este amparo electoral, pues el contenido del derecho fundamental del art. 23.2 CE se constituye en límite de las actuaciones judiciales. De acuerdo con las consideraciones ya realizadas en el motivo anterior, se entiende que en este caso se ha producido un cambio drástico en los parámetros del cómputo de la pena de inhabilitación especial para el ejercicio del derecho de sufragio pasivo que está prevista legalmente, que supone una extensión de la formulación legal contenida en el art. 561.1.2 CP, que la hace imprevisible en sentido restrictivo y desfavorable al ejercicio del derecho fundamental del art. 23.2 CE del recurrente. En definitiva, la sentencia del Juzgado de lo Contencioso-Administrativo núm. 2 de Donostia restringiría indebidamente el libre ejercido del derecho de participación política de don Arnaldo Otegi Mondragón, en su vertiente de ejercicio de sufragio pasivo.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su escrito el recurrente señalando —a mayor abundamiento— que, afectando la cuestión planteada a derechos fundamentales tan relevantes para la integración y participación en la vida social como el derecho de sufragio pasivo y el derecho a acceso a cargos públicos (art. 23.2 CE), es preciso realizar una interpretación favorecedora de la resocialización de los penados (art. 25.2 CE) que, por lo demás, se halla presente en el propio fundamento jurídico-criminal de la pena de inhabilitación especial para el derecho de sufragio pasivo, cual es la incompatibilidad material entre condena de prisión y desempeño de cargo público.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conformidad con lo dispuesto en el art. 49.1 de la Ley Orgánica del régimen electoral general (LOREG), y de acuerdo también con una consolidada doctrina constitucional, constituyen posible objeto de un recurso de amparo electoral los acuerdos de las juntas electorales sobre proclamación de candidaturas y candidatos y las resoluciones jurisdiccionales dictadas por los órganos judiciales en cada caso competentes para resolver los recursos contencioso-electorales que se promuevan contra aquellos acuerdos (SSTC, entre otras, 78/1987, de 26 de mayo, FJ 2; 160/1989, de 10 de octubre, FJ 1; 26/2000, de 26 de febrero, FF JJ 1 y 2, y 49/2004, de 30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las únicas decisiones susceptibles de impugnación en el presente recurso del amparo electoral, y, que, por consiguiente, constituyen su exclusivo objeto, son el acuerdo de la Junta electoral del territorio histórico de Guipúzcoa, de 29 de agosto de 2016, que excluyó al recurrente en amparo, don Arnaldo Otegui Mondragón, como candidato de la candidatura presentada por Euskal Herria Bildu (EH Bildu) en el territorio histórico de Guipúzcoa a las elecciones al Parlamento Vasco a celebrar el próximo día 25 de septiembre, por encontrase incurso en la causa de inelegibilidad prevista en el art. 4.7 b) de la Ley 5/1990, de 15 de junio, de elecciones al Parlamento Vasco, en relación con el art. 6.2 b) de la Ley Orgánica 5/1985, de 19 de junio, de régimen electoral general, y la Sentencia del Juzgado de lo Contencioso-Administrativo núm. 2 de San Sebastián, de 2 de septiembre de 2016, que desestimó el recurso contencioso-electoral interpuesto por el ahora recurrente en amparo contra aquel acuerdo de la Junta Electoral del Territorio Histórico de Guipúzcoa.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Junta Electoral fundó la decisión de excluir al recurrente en amparo como candidato, tras conferir a la formación política que presentó la candidatura el plazo de subsanación legalmente previsto (art. 47 LOREG), sin que por parte de dicha formación política se procediera a la subsanación requerida, en que el candidato se encontraba condenado entre otras penas, a los efectos que a este recurso de amparo interesan, a la de inhabilitación para el ejercicio del derecho de sufragio pasivo, habiéndose establecido por la Sección Cuarta de la Sala de lo Penal de la Audiencia Nacional, por providencia de 24 de enero de 2013, periodo de liquidación de aquella pena con fecha de comienzo el día 4 de septiembre de 2014 y con fecha de cumplimiento el día 28 de febrero de 2021. El Juzgado de lo Contencioso-Administrativo núm. 2 de San Sebastián, como se ha dejado constancia en los antecedentes, desestimó el recurso contencioso-electoral promovido por el solicitante de amparo contra el acuerdo de la Junta Electoral, confirmando éste en su integridad.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ahora recurrente en amparo se aquietó y consintió en su momento en el orden jurisdiccional penal, en lo que a la liquidación señalada para la pena de inhabilitación para el ejercicio del derecho de sufragio pasivo se refiere, la providencia de 24 de enero de 2013, que devino firme. Providencia que en todo caso, ante las alegaciones que respecto a la liquidación de la condena practicada se efectúan en la demanda de amparo, no puede ser en modo alguno objeto del presente recurso de amparo electoral, ni, al no ser la jurisdicción contencioso-administrativa la competente para determinar el cumplimiento de las penas y su liquidación, podía haber sido objeto del proceso contencioso electoral que el demandante en amparo promovió contra el acuerdo de la Junta Electoral que le excluyó como candidato a las elecciones al Parlamento Vasco por el territorio histórico de Guipúzcoa.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las cosas, como evidentemente lo son, ninguna vulneración de los derechos fundamentales invocados en la demanda de amparo, y en concreto, del derecho de acceso a los cargos públicos que proclama el art. 23.2 CE, cabe imputar al acuerdo de la Junta electoral que excluyó como candidato al recurrente por encontrase incurso en una causa de inelegibilidad legalmente prevista, en virtud de una resolución judicial firme —providencia de 24 de enero de 2013— recaía en la ejecutoria del proceso penal en el que fue condenado, pues la Junta electoral estaba compelida a dar cumplimiento (art. 118 CE) a aquella resolución judicial determinante de la causa de inelegibilidad apreciada. Ni tampoco cabe formular reproche alguno a la Sentencia del Juzgado de lo Contencioso-Administrativo núm. 2 de San Sebastián, que desestimó el recurso contencioso-electoral promovido por el recurrente en amparo contra el acuerdo de la Junta Electoral, que vino a confirmar, pues, en el ejercicio de la función jurisdiccional encomendada por la Ley Orgánica del régimen electoral general (art. 49.1 LOREG) y en el ámbito de las competencias de la jurisdicción contencioso-administrativa (art. 24 de la Ley Orgánica del Poder Judicial), el objeto del proceso contencioso-electoral no era otro que determinar la conformidad o no con el Ordenamiento jurídico del acuerdo recurrido, sin que en ningún caso pudiera extenderse el Juzgado de lo Contencioso-Administrativo a enjuiciar o revisar la resolución judicial dictada por el órgano jurisdiccional penal respecto a la liquidación de condena de la pena de inhabilitación para el ejercicio del derecho de sufragio pasivo.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septiembre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