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19 de octubre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Vicepresidenta,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recurso de inconstitucionalidad núm. 5269-2015, interpuesto por el Consejo de Gobierno de la Comunidad Autónoma de Andalucía, representado por la Letrada de la Junta de Andalucía, contra el artículo 19.3 y la disposición transitoria única de la Ley 32/2014, de 22 de diciembre, de metrología. Ha comparecido y formulado alegaciones la Abogado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23 de septiembre de 2015, la Letrada de la Junta de Andalucía, en la representación y defensa que legalmente ostenta, promueve recurso de inconstitucionalidad en relación con el artículo 19.3 y la disposición transitoria única de la Ley 32/2014, de metrología.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sucinta referencia al cumplimiento de los requisitos formales para la interposición del recurso, el escrito de demanda analiza, en primer término, el reparto competencial entre el Estado y las Comunidades Autónomas en materia de metrología, que deriva de lo dispuesto en el artículo 149.1.12 CE y en el artículo 58.4 del Estatuto de Autonomía para Andalucía (EAAnd). Afirma que la distribución de competencias se ajusta al esquema legislación estatal-ejecución autonómica, en virtud del cual se atribuye al Estado toda la legislación, incluidos los reglamentos ejecutivos de desarrollo y complemento de la ley, y a las Comunidades Autónomas las competencias ejecutivas, desarrolladas a través de los reglamentos organizativos, destinados a regular el modo en que la Administración presta sus servicios; al tiempo, la doctrina del Tribunal acoge una concepción de las competencias ejecutivas autonómicas que garantiza la capacidad de decisión organizativa de la Comunidad Autónoma, sin que este ámbito organizativo interno pueda ser restringido por el Estado, invadiendo las competencias ejecutivas que a éstas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efectúa una extensa referencia a la doctrina constitucional en materia de metrología, con especial referencia a las SSTC 100/1991, de 13 de mayo, y 236/1991, de 12 de diciembre, así como a lo señalado en la STC 243/1994, de 18 de agosto, en relación a la naturaleza y alcance de las competencias de ejecución, para afirmar que, de acuerdo con esta última, corresponde a las Comunidades Autónomas que tengan asumidas en sus Estatutos competencias de ejecución en una materia, la organización interna de los servicios y la determinación del modo en que se prestarán esos servicios, sin que el Estado pueda extender su competencia de legislación hasta esos extremos, pues quedarían vacías de contenido las competencias ejecutivas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Comunidad Autónoma, la Ley 32/2014 ha introducido determinadas novedades en la regulación de la organización del control metrológico y, especialmente, en la intervención en el mismo de terceros sujetos (los denominados “organismos designados”) que determinan una injerencia en las competencias autonómicas de ejecución, contraria al bloque de constitucionalidad. En concreto, y de acuerdo con la normativa anterior, la fase de control metrológico de instrumentos de servicio podía ser ejecutada directamente por las Administraciones públicas o bien por los denominados “organismos autorizados de verificación metrológica”. En el primer supuesto, se estaba ante la tramitación de un procedimiento administrativo que finalizaba con la correspondiente resolución; y en el segundo, ante la actuación a través de unos entes públicos o privados, en un sistema próximo a lo que se conoce como participación privada en el ejercicio de funciones públicas. La opción entre una u otra vía, e incluso su coexistencia, correspondía adoptarla a la Comunidad Autónoma, a quien se atribuía también la designación de estos organismos.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dicho modelo, la Comunidad Autónoma de Andalucía decidió que sus funciones de control metrológico del Estado en las fases de evaluación de conformidad —más limitadas— y de instrumentos de servicio —más amplias—, fueran prestadas a través de una entidad instrumental, Verificaciones Industriales de Andalucía, S.A. (VEIASA), sin que, por tanto, pudieran actuar en su territorio otras entidades, por más que las mismas hubieran sido autorizadas para hacerlo en otras Comunidades Autónomas, que hubieran optado por otro modelo de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este genérico argumento, el escrito de demanda entra en el examen de los concretos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19, apartado 3 viene así a imponer un modelo de organización para el control metrológico del Estado, en particular en la fase de instrumentos de servicio, basado en un régimen de autorización reglada y abierta para los organismos que intervengan en ese ámbito; lo que supone un desapoderamiento a la Comunidad Autónoma de Andalucía de una parte esencial de su competencia ejecutiva en materia de control metrológico, que asumió estatutariamente, y que ha venido ejerciendo a través de la sociedad pública instrumental VEIASA. Es a la Comunidad Autónoma a la que compete la determinación del modelo organizativo para el ejercicio de sus funciones ejecutivas.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párrafo del artículo 19.3 establece un régimen de autorización obligado para las Comunidades Autónomas, que impide que éstas que puedan decidir, de acuerdo con sus competencias de ejecución, el régimen de prestación de los servicios que consideren más adecuado (esto es, si lo prestan a través de su propio aparato administrativo; mediante la creación de entidades instrumentales; mediante la intervención de terceros; o mediante una combinación de ambos sistemas). Este reproche de inconstitucionalidad se hace extensivo a lo señalado en la disposición transitoria única, sobre “Adaptación a lo dispuesto en el artículo 19”, por lo que se considera inconstitucional el mandato contenido en su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párrafo del artículo 19.3 dispone que “los organismos designados podrán actuar en todo el territorio nacional”. Considera el escrito de demanda que esta previsión, que está vinculada con la reforma promovida a través de la Ley 20/2013, de 9 de diciembre, de garantía de la unidad de mercado, además de lesionar las competencias ejecutivas de la Comunidad Autónoma, altera la estructura de los mecanismos de distribución competencial previstos en la Constitución, en cuanto el Estado se arroga la capacidad de redistribuir las competencias autonómicas, haciendo posible que determinadas Comunidades Autónomas ejerzan sus competencias en el ámbito territorial de otras, en la medida en que las autorizaciones que otorguen, con los requisitos que estimen oportunos, tendrán plena validez en otras Comunidades Autónomas. Afirma el Letrado, que se subvierte con ello la estructura misma del Estado autonómico, lesionando lo establecido en el artículo 139.1 CE, que recoge un principio de igualdad de trato que supone que ningún ciudadano puede ser tratado en ninguna Comunidad Autónoma de manera diferente al del resto de los residentes en esa Comunidad Autónoma. Y ello porque el precepto que se examina crea un régimen jurídico específico en función de la Comunidad Autónoma de origen, que será distinto respecto de la normativa de otras Comunidades Autónomas en el territorio de cada una de ellas, lo que implica que no existirán los mismos derechos y obligaciones en cualquier parte del territorio del Estado sino que, por el contrario, en el territorio de cada Comunidad Autónoma podrá aplicarse un régimen jurídico diferenciado según la Comunidad Autónoma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también, que el precepto produce una vulneración del principio de seguridad jurídica (art. 9.3 CE), al convivir en cada Comunidad Autónoma diecisiete modalidades normativas diferentes para regular la misma actividad, y una infracción de los artículos 7 y 43 del Estatuto de Autonomía para Andalucía, en los que se recoge el principio general de territorialidad de las competencias autonómicas; y ello en cuanto la delimitación del territorio, que es uno de los contenidos obligados de los Estatutos de Autonomía [art. 147.2 b) CE], pierde sentido, a través de esta normativa, que convierte en regla general la eficacia extraterritorial de las normas, desdibujando el territorio como espacio de referencia del ejercicio de las competencias y de la eficacia de las normas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rechazan asimismo en el escrito de demanda las apelaciones que efectúa el preámbulo de la Ley al necesario cumplimiento de las exigencias derivadas del derecho comunitario europeo, como título legitimador de las novedades que contiene la Ley 33/2014, afirmando que el derecho comunitario en modo alguno habilita el régimen de autorización obligatoria que impone el artículo 19.3 de la Ley. Afirma que la llamada Directiva de servicios no puede constituir justificación de la reforma, puesto que ha sido incorporada al ordenamiento jurídico interno a través de la legislación estatal previa, sin que haya de existir necesariamente un vinculación indirecta de las competencias autonómicas al derecho europeo, mediatizada siempre por el derecho estatal, dado que a las Comunidades Autónomas les corresponde desarrollar el derecho de la Unión en el ámbito de sus competencias constitucionales, y, por tanto, la Directiva de servicios no puede ser objeto de transposición exclusiva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escrito afirmando que, en todos los casos en que la citada directiva menciona a “los Estados”, está mencionando en realidad, de acuerdo con el principio de autonomía institucional, a los poderes públicos que en cada Estado miembro tengan atribuida la competencia material, siguiendo lo dispuesto en su sistema constitucional interno. Esto implica que la Directiva no obliga ni a liberalizar los servicios prestados por la Junta de Andalucía, ni a privatizar entidades públicas que presten este tipo de servicios, por lo que no puede oponerse el derecho europeo a las objeciones de inconstitucionalidad de la Ley 32/2014.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20 de octubre de 2015, el Pleno, a propuesta de la Sección Tercera, acordó admitir a trámite el presente recurso de inconstitucionalidad; dar traslado de la demanda y documentos presentados, conforme establece el artículo 32 de la Ley Orgánica del Tribunal Constitucional (LOTC), al Congreso de los Diputados y al Senado, por conducto de sus Presidentes, y al Gobierno a través del Ministerio de Justicia, al objeto de que, en plazo de 15 días, pudieran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Senado, mediante escrito registrado en este Tribunal el 27 de octubre de 2015, comunicó el acuerdo de la Mesa de la Cámara de personarse en el proceso y dar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Congreso de los Diputados, mediante escrito recibido el 28 de octubre, comunicó que la Cámara se personaba en el proceso,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día 28 de octubre de 2015, el Abogado del Estado se personó en las actuaciones y solicitó una prórroga hasta el máximo legal, del plazo concedido para alegaciones. El Pleno, mediante providencia de 29 de octubre siguiente, acordó incorporar a las actuaciones el escrito del Abogado del Estado, a quien se le tiene por personado, y se le prorroga en ocho días más el plazo concedido,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24 de noviembre de 2015 tuvo entrada en este Tribunal escrito de alegaciones del Abogado del Estado, en el que solicita se tenga por evacuado el trámite y, en su día, se dicte Sentencia en la que se desestime íntegramente el recurso de inconstitucionalidad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Abogado del Estado que el primer argumento en que se basa el recurso es el de considerar que tanto el artículo 19.3 como la disposición transitoria única de la Ley 32/2014 suponen una invasión de las competencias ejecutivas que, en materia de metrología, ostenta la Comunidad Autónoma andaluza, impidiendo a la misma organizar su propia forma de control metrológico, que hasta la reforma efectuada por dicha ley, se ejercía de forma exclusiva y excluyente por la entidad instrumental VEIASA, siendo ello contrario a lo establecido en las SSTC 100/1991 y 236/1991. Considera por el contrario el representante estatal que el contenido de las citadas Sentencias viene a confirmar la constitucionalidad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es precisamente el ejercicio de la competencia legislativa exclusiva atribuida al Estado por el artículo 149.1.12 CE, el que ampara la aprobación de la Ley 32/2014, que resulta expresión clara de dicha competencia estatal, sin que quepa olvidar que la atribución de competencia sobre “legislación”, y no solo sobre “bases” o “legislación básica”, tiene un alcance mucho más amplio que el enunciado por la Comunidad Autónoma, pues la competencia reservada al Estado se extiende a la totalidad de la legislación, es decir, a toda la capacidad normativa. Por su parte, corresponde a las Comunidades Autónomas, por tratarse de actos o actividades de ejecución, el ejercicio de las actividades de control metrológico en todas sus fases, la determinación de los órganos competentes para la imposición de sanciones en este ámbito, la llevanza del registro de control metrológico y la habilitación de las entidades que realicen actividades de verificación metrológica (SSTC 100/1991 y 236/1991).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19 de la Ley regula los organismos designados, que son las entidades que realizan las evaluaciones de la conformidad o las verificaciones relacionadas con la ejecución del control metrológico del Estado. Lo que hace en este punto la ley en el precepto debatido, consiste en determinar las condiciones que han de cumplir dichos organismos para poder realizar la actuación de evaluación y control. La Ley no está haciendo uso pues de una competencia ejecutiva, ni está interfiriendo en su ejercicio, sino que está ejerciendo la potestad normativa propia del Estado mediante el diseño del régimen normativo de dichos organismos. El sometimiento de la actividad de control metrológico a autorización reglada forma parte de la regulación normativa que ha de llevar a cabo la ley, por lo que nos encontramos propiamente ante una competencia normativa, vinculada al establecimiento de un régimen jurídico, y no ante una competencia ejecutiva, consistente en llevar a la práctica dicho régimen.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el Abogado del Estado, que la Comunidad Autónoma puede actuar su competencia ejecutiva, estableciendo los procedimientos aplicables, determinando los órganos competentes, y otorgando las autorizaciones correspondientes, cuando la entidad solicitante cumpla las condiciones para ello, siendo éste el verdadero alcance de la competencia ejecutiva atribuida a la Comunidad Autónoma, y que la ley respeta. A su juicio, carece de sentido considerar que forma parte de la competencia ejecutiva la determinación de si el régimen de acceso a la actividad será mediante autorización o concesión, reglado o discrecional, ya que estas materias tienen naturaleza normativa, de conformidad con la jurisprudencia constitucional. Por lo expuesto, concluye que tanto el artículo 19.3 como la disposición transitoria única de la Ley 32/2014, son conformes con el régimen constitucional de distribución de competencias, pues han sido dictados en ejercicio de la competencia estatal exclusiva sobre legislación en materia de metrología.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seguidamente el Abogado del Estado, al marco jurídico en el que se aprueba la nueva Ley de metrología. Recuerda, en primer término, que en la Sentencia 236/1991, de 12 de diciembre, el Tribunal vino a avalar la constitucionalidad del precepto en el que se reconoce validez en todo el territorio del Estado a los controles metrológicos que, en aplicación de la misma, efectúen los órganos de la Administración del Estado o, en su caso, los de las Comunidades Autónomas, afirmando que no se produce exclusión alguna, sino un razonable reconocimiento de la eficacia extraterritorial o supracomunitaria de la actividad de control efectuada por las Administraciones autonómicas. A juicio del representante estatal, esta doctrina parte de la base de que las Comunidades Autónomas son Administraciones públicas igualmente integrantes del Estado y, por tanto, el acto de verificación realizado por cualquiera de ellas es digno de igual confianza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añade que la situación en que se promulgó la Ley de metrología de 1985 ha variado sustancialmente consagrándose, tanto a nivel comunitario como a nivel interno, el principio de unidad de mercado. La Ley 20/2013, de 9 de diciembre, de garantía de la unidad de mercado, es la culminación de las exigencias europeas en esta materia, y su salvaguarda solo queda garantizada en el medida en que se disponga —tal y como hace el artículo 19.3 de la Ley 32/2014— un régimen común para el acceso a la actividad de control metrológico del Estado y la previsión de que los organismos designados, una vez autorizados en una Comunidad Autónoma, pueden actuar en todo el territorio nacional, con independencia de la Comunidad Autónoma que haya emitido la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unidad de mercado tiene una dimensión que no sólo es nacional, sino también europea, y únicamente se puede garantizar con el establecimiento por cada Estado de un régimen común. Los organismos notificados, que son los sujetos a regulación por la Unión Europea y se dedican a la evaluación de conformidad de instrumentos de regulación armonizada, pueden ser designados por cualquier Estado miembro, trabajar con clientes de cualquier país (incluso extra-comunitario) y sus certificados son válidos en toda la Unión Europea. El principio de eficacia nacional es un pilar básico de la ley, que permite que se haga efectivo el principio de unidad de mercado contenido en el artículo 139 CE; y, al contrario de lo que afirma el recurrente, precisamente para hacer plenamente efectivo ese principio, la Ley extiende el principio de libertad de establecimiento de los prestadores en todo el territorio nacional; en otros términos, el principio de eficacia nacional de los medios de intervención administrativa, a todas las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19.3 y la disposición transitoria única de la Ley 32/2014 no cercenan las competencias ejecutivas de las Comunidades Autónomas; vienen, por el contrario a materializar la unidad de mercado en el ámbito del control metrológico, bajo los principios de confianza mutua y de cooperación interadministrativa, definiendo el marco territorial de eficacia de las condiciones de acceso y de ejercicio, sin alterar el contenido material de las citadas competencias; dicho marco normativo deriva de lo dispuesto en la Directiva 2005/123/CE, de 16 de diciembre, relativa a los servicios en el mercado interior, que cubre expresamente los servicios de certificación y verificación en su artículo 10.4, cuyas previsiones se han transpuesto al ordenamiento jurídico español a través de los artículos 4.2 y 7.3 de la Ley 17/2009, de 23 de noviembre,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el Abogado del Estado que los preceptos recurridos no vulneran el principio de seguridad jurídica previsto en el artículo 9.3 CE, pues su objetivo es proporcionar seguridad tanto a operadores económicos como a consumidores, simplificando el régimen jurídico aplicable y estableciendo unos requisitos comunes de acceso al ejercicio del control metrológico en todo el territorio nacional, debiendo rechazarse que su aplicación suponga que pueda haber diecisiete modalidades diferentes de acceso al control metrológico pues, precisamente, dicho régimen de acceso constituye una competencia normativa, que corresponde en exclusiva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31 de octubre de 2016, el Gabinete Jurídico de la Junta de Andalucía elevó escrito al Pleno de este Tribunal en el que pone de manifiesto que, con posterioridad a la interposición del recurso, se ha dictado la STC 141/2016, de 21 de julio, cuya doctrina vendría a reafirmar la argumentación esgrimida en la demanda, y que se aporta al presente procedimiento, de conformidad con lo previsto en el artículo 89 LOTC, en relación con los artículos 286.1 y 270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del Pleno de 15 de noviembre de 2016 se acordó unir a las actuaciones el escrito y copia de la sentencia que acompaña y dar copia del mismo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5 de octubre de 2017, la Magistrada doña María Luisa Balaguer Callejón comunicó su voluntad de abstenerse en el conocimiento del presente recurso de inconstitucionalidad, por entenderse incluida en el epígrafe 13 del artículo 219 de la Ley Orgánica del Poder Judicial (haber ocupado cargo público, con ocasión del cual haya participado directa o indirectamente en el asunto objeto de la causa). Por Auto de 17 de octubre de 2017, el Pleno de este Tribunal acordó estimar justificada la abstención formulada, apartándola definitivamente del conocimiento del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octubre de 2017,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recurso de inconstitucionalidad formulado por el Consejo de Gobierno de Andalucía en relación con el artículo 19.3 y la disposición transitoria única de la Ley 32/2014, de 22 de diciembre, de metrología.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recurrente, en los términos ya indicados, considera en síntesis que los preceptos impugnados no respetan el orden constitucional de distribución de competencias que deriva de lo dispuesto en el artículo 149.1.12 CE y en el artículo 58.4 del Estatuto de Autonomía para Andalucía, vulnerando las competencias de ejecución que, en materia de control metrológico, le atribuye el citado precepto estatutario. Dichas competencias ejecutivas incluirían la determinación del modelo organizativo aplicable para el ejercicio de las mismas, por lo que la modificación del anterior sistema de control metrológico, determina el desapoderamiento de las competencias ejecutivas que hasta la presente modificación legislativa venía ejerciendo la Comunidad Autónoma, afectando a las facultades que ostenta para la organización de sus servicios. Se afirma, asimismo, que la atribución de eficacia extraterritorial a la actuación de los organismos de control metrológico designados por las Comunidades Autónomas, vulnera lo dispuesto en los artículos 9.3 y 139.1 CE, así como lo señalado en el artículo 147.2 b) CE en relación con los artículos 7 y 43 de su Estatuto de Autonomía, que recogen el principio general de territorialidad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más ampliamente se expone en los antecedentes, considera que la presente regulación ha sido dictada por el Estado al amparo de la competencia exclusiva que en materia de “legislación sobre pesas y medidas” le atribuye el artículo 149.1.12 CE, sin que los preceptos recurridos interfieran o menoscaben las competencias de ejecución de la legislación estatal que se atribuyen a la Comunidad Autónoma por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y con el fin de situar la norma impugnada en su contexto normativo, conviene recordar que la presente Ley 32/2014, ha venido a sustituir a la Ley 3/1985, de 18 de marzo, de metrología, optando por la aprobación de un nuevo texto, al que se incorporan pues las modificaciones producidas desde la aprobación de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3/1985 había sido objeto de diversas reformas, motivadas especialmente por la evolución del Derecho de la Unión Europea —tal y como se describe en el preámbulo de la norma que ahora se examina—; entre ellas cabe destacar la que se produjo mediante el Real Decreto Legislativo 1296/1986, de 28 de junio, por el que se estableció el control metrológico CEE y la que tuvo lugar como consecuencia de la incorporación de la denominada Directiva de servicios, que requirió la aprobación de dos leyes para incorporar su contenido al ordenamiento español: la Ley 17/2009, de 23 de noviembre, sobre el libre acceso a las actividades de servicios y su ejercicio, y, como complemento de la anterior, la Ley 25/2009, de 22 de diciembre, de modificación de diversas leyes para su adaptación a la Ley sobre libre acceso a las actividades de servicios y su ejercicio. Esta última norma, en su artículo 11, modificó diversos aspectos de la vigente Ley de metrología para adaptarla tanto a la Directiva 2004/22/CE, como a la Directiva 2006/123/CE y, concretamente, fueron modificados los artículos 7, 8 y 13, relativos a las fases de control metrológico, el registro de control metrológico y el régimen de infracciones.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aprobación de la Ley 32/2014 pretende, entre otros objetivos y según se señala en su preámbulo, ajustar el texto legislativo a los pronunciamientos del Tribunal Constitucional sobre el alcance de las competencias ejecutivas de las Comunidades Autónomas en materia de metrología; adaptar su redacción a la terminología actual en materia de metrología legal, así como a los criterios establecidos por la Organización Internacional de Metrología Legal, de la que España es miembro, y a las resoluciones de la Conferencia General de Pesas y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capítulo V de la Ley comprende los artículos 15 a 19, en los que se regula la organización y estructura administrativa dedicada al control metrológico en el ámbito de la Administración General del Estado. Y, como señala el preámbulo, “prevé también la posibilidad de habilitación, mediante la correspondiente autorización administrativa, a quienes, como organismos designados a los que alude el artículo 19, intervienen en el control metrológico del Estado, figura ésta contemplada en las Directivas de la Unión Europea y ya recogida en nuestro ordenamiento por el Real Decreto 889/2006, tanto en relación con instrumentos de regulación armonizada como respecto a instrumentos con regulación específica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el artículo 19 viene a regular los llamados “organismos designados”. De acuerdo con lo dispuesto en su apartado 1, los organismos designados son las entidades que realicen las evaluaciones de conformidad o las verificaciones relacionadas con la ejecución del control metrológico del Estado, y serán habilitados para el desarrollo de su actividad por las Administraciones públicas competentes para el ejercicio de esas funciones. Se contemplan asimismo los organismos notificados, que son los que actúan en la evaluación de conformidad de los instrumentos sometidos a la legislación armonizada de la Unión Europea. Los organismos de control metrológico actúan en la evaluación de conformidad de los instrumentos sometidos a la legislación nacional; y los organismos autorizados de verificación metrológica actúan en la fase de instrumentos de servicios. El precepto añade que el procedimiento para la designación de estos organismos y su régimen de incompatibilidades se regularán por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segundo del artículo 19 dispone que serán requisitos esenciales para la designación de estos organismos, la comprobación de su independencia y cualificación técnica. Las Administraciones públicas competentes velarán por la independencia de las entidades y empresas privadas o personas físicas que designen; y se presumirá dicha independencia cuando se trate de Administraciones públicas y organismos y entidades de titularidad pública. Añade el precepto que la cualificación técnica se presumirá para el Centro Español de Metrología y para quienes sean acreditados al efecto por la Entidad Nacional de Acreditación. Las Administraciones públicas competentes podrán apreciar la cualificación por otros medios, en los supuestos que se determinen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tercero del artículo 19 —que constituye el objeto del presente recurso de inconstitucionalidad— dispone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Administraciones Públicas competentes otorgarán la correspondiente autorización a aquellas entidades que cumplan los requisitos a que se refiere el apartado anterior de conformidad con el procedimiento que establezcan.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organismos designados podrán actuar en todo el territorio nacional y sus certificados y otros documentos reglamentarios para el control metrológico del Estado tendrán validez y eficacia en cualquier lugar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formulada alcanza también a lo dispuesto en la disposición transitoria única de la Ley 32/2014, sobre “Adaptación a lo dispuesto en el artículo 19”, en la que se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Administraciones Públicas competentes para la ejecución del control metrológico del Estado cuyo régimen de habilitación no sea conforme a lo establecido en el art. 19.3, deberán adoptar las medidas necesarias para garantizar la aplicación de lo dispuesto en dicho apartado antes del 1 de enero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tanto no se aprueben las normas de desarrollo de lo dispuesto en el art. 19 de esta y sean designados conforme a la misma, el Centro Español de Metrología y demás organismos designados podrán seguir realizando las que estén habilitados, de acuerdo con los plazos y condiciones establecidos en las normas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que sustenta la impugnación del primer inciso del artículo 19.3, es que, en cuanto viene a modificar el procedimiento a seguir para la realización del control metrológico, mediante la intervención en el mismo de los llamados “organismos designados”, invade las competencias de ejecución que corresponden a la Comunidad Autónoma en materia de control metrológico, afectando indebidamente a las facultades que ésta ostenta para la organización de sus propios servicios; esto es, para la determinación del modelo organizativo a que ha de ajustarse el ejercicio de sus funciones ejecutivas en este ámbito. Este mismo reproche se hace extensivo, por conexión, a lo señalado en la disposición transitoria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previsto en el segundo inciso del artículo 19.3, afirma la representación autonómica que la atribución de efectos supraterritoriales a las autorizaciones que se otorguen por los organismos designados, lesiona el artículo 139.1 CE, al permitir la convivencia en el territorio autonómico de regímenes jurídicos específicos, en función de la Comunidad Autónoma de origen del organismo designado; vulnera el artículo 9.3 CE, al convivir en cada Comunidad Autónoma diecisiete normativas diferentes para regular una misma actividad; e infringe lo dispuesto en el artículo 147.2 b) CE, en conexión con los artículos 7 y 43 del Estatuto de Autonomía para Andalucía, que recogen el principio general de territorialidad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Dado que nos encontramos ante una controversia esencialmente competencial, debemos comenzar por el encuadramiento material de la norma controvertida en el esquema constitucional de distribución de competencias, teniendo en cuenta que ambas partes coinciden en señalar que la materia controvertida es la relativa a metrología, a la que hacen referencia tanto el artículo 149.1.12 CE como el artículo 58.4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dispuesto en el artículo 149.1.12 CE corresponde al Estado la competencia exclusiva en materia de “legislación sobre pesas y medidas”; en tanto que el artículo 58.4, apartado cuarto, del Estatuto de Autonomía para Andalucía dispone que la Comunidad Autónoma asume competencias ejecutivas en materia de “Control, metrología y contraste de metales”. Sobre el régimen de distribución de competencias en materia de pesas y medidas, noción que en la actualidad ha venido a ser sustituida en nuestro ordenamiento por la de “metrología”, se ha pronunciado este Tribunal fundamentalmente en dos Sentencias: STC 100/1991, de 13 de mayo y STC 236/1991, de 23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ellas, relativa a la Ley 3/1985, de 18 de marzo, de metrología, se contiene un pronunciamiento de carácter general sobre el régimen competencial en la materia, conforme al cual: “Se reserva en la Constitución al Estado, la legislación sobre pesas y medidas, y, consecuentemente, se asume en el Estatuto por la Administración autonómica la ejecución de la legislación del Estado. El alcance que debe concederse a estos conceptos de ‘legislación’ y ‘ejecución’ como criterios de deslinde competencial es el que resulta de una reiterada jurisprudencia constitucional (SSTC 33/1981, 18/1982, 35/1982 y 39/1982, entre otras muchas), elaborada en torno a otros preceptos constitucionales que emplean la misma técnica. Este Tribunal ha venido declarando que cuando la Constitución usa el término ‘legislación’ y lo atribuye a la competencia estatal, incluye los reglamentos tradicionalmente denominados ejecutivos, esto es, los dictados en desarrollo de la Ley y complementarios de la normativa en ella recogida, con la finalidad de mantener una uniformidad en la ordenación jurídica de la materia, facilitando la colaboración entre Ley y Reglamento” (STC 100/1991,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delimitación competencial, la Sentencia entiende que ello exige determinar en cada caso el carácter normativo o simplemente ejecutivo de las previsiones contenidas en los preceptos impugnados. Ello lleva, en este pronunciamiento, a declarar que forman parte de las competencias autonómicas, por su naturaleza típicamente ejecutiva, las actividades o fases de control metrológico consistentes en la aprobación de modelo y verificación primitiva, pues no hay en ellas “innovación normativa” alguna, dado que la actividad supone simplemente la comprobación de que los modelos o instrumentos fabricados según esos modelos, cumplen las características técnicas fijadas por la Administración del Estado en las normas reglamentarias correspondientes (FJ 3). Otro tanto se viene a afirmar en relación con el ejercicio de la potestad sancionadora, considerando que forma parte de la competencia ejecutiva autonómica, la facultad de imponer sanciones a las infracciones cometidas en esta materia, aplicando la normativa estatal con rango legal o, en su caso, reglamentario que se dicte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STC 236/1991 vino a resolver cinco conflictos positivos de competencia planteados por varias Comunidades Autónomas frente a tres disposiciones reglamentarias dictadas en desarrollo de la Ley 3/1985, y, siguiendo los parámetros definidos en la anterior Sentencia, vino a confirmar la competencia autonómica en relación con las facultades de naturaleza ejecutiva relativas al control metrológico (aprobación del modelo y verificación primitiva); habilitación de laboratorios de verificación metrológica, oficialmente autorizados; llevanza del Registro de Control Metrológico; y el denominado control metrológico CEE. En el fundamento jurídico 5 de este pronunciamiento se afirmó expresamente la constitucionalidad de la previsión en virtud de la cual se reconocía validez en todo el territorio del Estado a los controles metrológicos que, en aplicación de la ley, efectuasen los órganos de la Administración del Estado o, en su caso, los de las Comunidades Autónomas, afirmando que “no existe aquí, por tanto, exclusión alguna de las facultades autonómicas de ejecución, sino un razonable reconocimiento de la eficacia extraterritorial o supracomunitaria de la actividad de control efectuada por las Administraciones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Centrado pues el debate en los términos expuestos, e iniciando el examen de fondo por lo dispuesto en el artículo 19.3, primer inciso, lo que, en esencia, discute la Comunidad Autónoma es el alcance que debe atribuirse a la competencia estatal en materia de “legislación”, entendiendo que dicha competencia no le habilita para modificar el modelo vigente de organización del control metrológico, pues considera que dicha modificación afecta o incide en sus competencias de ejecución y, en concreto, en la facultad que le corresponde para la organización de sus servicios de control metrológico, al haberse sustituido el anterior régimen concesional, por un régimen de autorización abierta y reglada en favor de los llamados “organismos designados”.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tuvimos ocasión de afirmar en la STC 100/1991, forma parte del ámbito propio de la “legislación” en materia de metrología, la determinación de los criterios normativos que habrán de aplicar las Comunidades Autónomas en el ejercicio de sus competencias de ejecución en materia de control metrológico, pues es al Estado, en virtud de sus competencias en materia de legislación sobre pesas y medidas, a quien corresponde en exclusiva la regulación completa de la metrología, ya sea mediante normas de rango legal o reglamentario, y el establecimiento de un régimen jurídico común y, en consecuencia, quien ostenta con carácter excluyente la competencia para abordar la fijación normativa del procedimiento a seguir para el ejercicio de las competencias ejecutivas autonómicas de control metrológico, quedando limitada la competencia autonómica a la emanación de los reglamentos internos de organización de los servicios necesarios, y a la puesta en práctica de la normativa reguladora establecida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se plantea, en concreto, es si es constitucional que el Estado condicione normativamente cómo la Administración autonómica ha de materializar su competencia ejecutiva. Respecto de dicha cuestión, nuestra doctrina ha reconocido expresamente que (incluso al amparo de competencias de carácter básico), puede el Estado condicionar normativamente cómo la Administración autonómica ha de materializar su competencia ejecutiva, siendo trasladables dichos argumentos al supuesto que ahora se analiza, en el que, además, la intervención estatal resulta más intensa que la que deriva de una competencia de carácter básico, en cuanto la reserva competencial al Estado alcanza a la totalidad de la legislación en materia de metrología.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hemos tenido ocasión de recordar recientemente [STC 79/2017, de 22 de junio, FJ 7 b)], esta cuestión ha quedado en buena medida respondida por la doctrina de este Tribunal; por ejemplo en la STC 139/2013, de 8 de julio, FJ 4 afirmamos que la fijación de una determinada modalidad de intervención administrativa constituye una medida de carácter indudablemente normativo; expresa una opción de política legislativa adoptada en el marco de la libertad de configuración que la Constitución atribuye al Estado a través del artículo 149.1.13 CE¸ y este título competencial ampararía no sólo la restricción de una determinada modalidad de intervención administrativa, sino también la fijación de una concreta modalidad de intervención. Igualmente, en la STC 54/2017, de 11 de mayo, FJ 7.b afirmamos que “la directa conexión con objetivos fundamentales de la política económica y, en general, con los fines de legislación para cuya aprobación es competente el Estado (p. ej. en materia de medio ambiente), puede llegar a justificar una regulación de modalidades específicas de intervención administrativa en supuestos especiales. Así lo hemos declarado en relación con una previsión estatal que sustituía el régimen de autorización por el régimen de notificación al órgano autonómico correspondiente para que los titulares de viviendas protegidas para alquiler puedan enajenarlas a determinadas sociedades (STC 139/2013, de 8 de julio, FJ 13); o respecto de una previsión de la Ley de costas que obliga a los titulares de obras e instalaciones incorporados en la zona de servidumbre de protección a acreditar mediante declaración responsable ante la Administración autonómica determinadas circunstancias (que las obras supondrán una mejora en la eficiencia energética, emplearán mecanismos que conlleven un ahorro efectivo en el consumo de agua y fomentarán el uso de recursos hídricos marginales para el riego de jardines y espacios verdes), STC 57/2016, de 17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ahora se examina, el condicionamiento normativo consistente en determinar que la Administración autonómica desarrolle su competencia ejecutiva mediante una concreta técnica (autorización de organismos designados), tiene un carácter puramente normativo, se encuentra amparado en las competencias legislativas estatales ex artículo 149.1.12 CE, se justifica en el propio preámbulo de la norma en las exigencias derivadas de la necesaria adaptación a la normativa comunitaria, y se dirige al logro de dos objetivos: garantizar un tratamiento común de los titulares de los derechos y asegurar un control independiente.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Reconocida pues la competencia estatal para determinar normativamente el mecanismo de intervención administrativa a que habrá de ajustarse la Comunidad Autónoma en el ejercicio de sus competencias de ejecución, ha de reconocerse también que se inserta en el ámbito de las competencias estatales, la facultad para introducir modificaciones normativas en el marco regulador aplicable al ejercicio de las citadas funciones ejecutivas, en aquellos sectores materiales regidos por el binomio legislación-ejecución, sin que la modificación del modelo aplicable sea susceptible de vulnerar la delimitación de competencias, dado que la competencia autonómica de ejecución queda circunscrita a los exclusivos aspectos de ejecución o gestión de la normativa estatal, quedando pues al margen de dicha competencia toda pretensión relativa a la ordenación o regulación del sistema arbitrado por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supuesta vulneración competencial no puede derivar tampoco de la modificación del modelo anterior de organización del control metrológico ni del contraste con el sistema anterior, pues la referencia a lo dispuesto en la normativa anterior, en ningún caso puede erigirse en un factor de petrificación, que en tantas ocasiones hemos rechazado por contrariar el legítimo margen de configuración del legislador democrático y el propio carácter dinámico del ordenamiento jurídico, lo que hace inviable la pretensión de permanencia e inalterabilidad en el tiempo o la imposibilidad de adaptar la regulación al cambio de circunstancias (por todas, STC 233/2015, de 5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asimismo que, con ocasión del nuevo modelo, se haya producido un desapoderamiento de las competencias autonómicas de ejecución, pues el artículo 19 sitúa ante las “Administraciones Públicas competentes” el ejercicio de las citadas competencias; en concreto, la habilitación de estas entidades para el desarrollo de su actividad (apartado primero), la facultad de velar por la independencia de las entidades y empresas privadas o personas físicas que designen, así como la de apreciar la cualificación técnica de las mismas (apartado segundo), y el otorgamiento de la correspondiente autorización, de conformidad con el procedimiento que establezcan (apartado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y aunque la fijación de un nuevo marco normativo para el ejercicio de las competencias ejecutivas autonómicas es susceptible de afectar al sistema seguido hasta la fecha por la Comunidad Autónoma para la organización de sus servicios de control metrológico, ello no implica que se haya producido una intromisión ilegítima del Estado en esas competencias autonómicas de organización, que permanecen incólumes y habrán de ser desarrolladas por la propia Administración autonómica, a través de los oportunos mecanismos de adaptación a la nueva regulación aquí contemplada.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que acaban de exponerse y que determinan que deba rechazarse la impugnación dirigida contra el primer inciso del artículo 19 de la Ley 32/2014, son extensibles a lo señalado en la disposición transitoria única, respecto de la cual no se formula por el recurrente argumentación específica alguna, sino por mera conexión, dado que la misma tiene un carácter puramente instrumental o subsidiario, dirigido a articular la adaptación temporal a lo dispuesto en el artículo 19; por lo que siendo la misma “una norma con vocación de vigencia temporal y con la estricta y limitada finalidad de garantizar la efectividad de la regulación establecida legítimamente en ejercicio de competencias el Estado, procede afirmar que no es contraria a la distribución competencial que perfila nuestro texto constitucional” [STC 141/2014, FJ 8 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conclusiones no resultan alteradas por lo señalado en la STC 141/2016, de 21 julio que, con posterioridad a la formulación del escrito de demanda, fue unida a las presentes actuaciones a solicitud de la representación autonómica; y ello por la diferente naturaleza de las cuestiones allí examinadas.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141/2016 vino a declarar la inconstitucionalidad del artículo 11.1 del Real Decreto 239/2013, de 5 de abril, declaración que tenía su fundamento en la asunción en exclusiva por el Estado de facultades de naturaleza propiamente ejecutiva y no normativa, como era la competencia exclusiva para la “acreditación de los verificadores medioambientales”, competencia que se localizaba en un organismo estatal (la Entidad Nacional de Acreditación). Por esta razón, se vino a señalar que “al atribuir en exclusiva a la Entidad Nacional de Acreditación, la acreditación de los verificadores medioambientales, ha invadido las competencias ejecutivas que pertenecen al Gobierno de la Generalitat en materia de medio ambiente” (FJ 7). Es evidente que los parámetros entre aquel supuesto y el que ahora es objeto de examen, son radicalmente diferentes, pues en el caso que aquí se examina lo que se ha puesto en cuestión es el alcance de los condicionamientos normativos a que ha de sujetarse el ejercicio de las competencias autonómicas de ejecución, pero la facultad de naturaleza ejecutiva consistente en la autorización de los organismos de control —y que es la que resultaría equivalente, mutatis mutandis, a aquella de acreditación de verificadores— permanece en el ámbito competencial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inciso del artículo 19.3 de la Ley 32/2014 viene a recoger el principio general de eficacia supraterritorial de las actuaciones de los organismos designados, haciendo posible que sus certificados y documentos reglamentarios de control metrológico tengan validez y eficacia en cualquier parte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previsión no constituye una novedad en la normativa en materia de metrología, pues una regulación similar se contemplaba en el artículo 7.4 de la Ley 3/1985, de 18 de marzo, y en la modificación introducida en el mismo por el artículo 11.1 de la Ley 25/2009, de 22 de diciembre, de modificación de diversas leyes para su adaptación a la ley sobre el libre acceso a las actividades de servicios, y había sido expresamente refrendada también por la Sentencias dictadas en materia de metrología, que más arriba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en materia de supraterritorialidad de las competencias autonómicas, es objeto de síntesis en el fundamento jurídico 13 a) de la reciente STC 79/2017, de 22 de junio, dictada en relación con la Ley 20/2013, de 9 de diciembre, de garantía de la unidad de mercado. En la misma se viene a recordar, de entrada, que: “el alcance territorial de las competencias autonómicas viene impuesto por la organización territorial del Estado en Comunidades Autónomas (art. 137 de la Constitución) y responde a la necesidad de hacer compatible el ejercicio simultáneo de las competencias asumidas por las distintas Comunidades (STC 44/1984, de 27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territorio [autonómico] se configura como un elemento definidor de las competencias de cada Comunidad Autónoma en su relación con las demás Comunidades Autónomas y con el Estado, y permite localizar la titularidad de la correspondiente competencia, en atención al ámbito en que se desarrollan las oportunas actividades materiales. Las competencias de las Comunidades Autónomas se circunscriben a su ámbito territorial (STC 3/2014, de 16 de enero, FJ 3). El principio de territorialidad de las competencias es, por tanto, algo implícito al propio sistema de autonomías territoriales (SSTC 13/1988, FJ 2; 48/1988, FJ 44; 49/1988, FJ 30, y 40/1988, de 19 de febrero, FJ 45) de manera que, aunque no sea en sí mismo, un título atributivo de competencias fuera de los casos expresamente previstos en el bloque de la constitucionalidad, se relaciona con él puesto que significa que las competencias autonómicas deben de tener por objeto fenómenos, situaciones o relaciones radicadas en el territorio de la propia Comunidad Autónoma, de modo que el ejercicio de las citadas competencias queda referido al ámbito territorial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este entendimiento, los Estatutos de Autonomía han dispuesto que el ámbito espacial de las competencias de sus instituciones esté referido al territorio autonómico respectivo. Territorio que, de acuerdo con el artículo 147.2 b) CE, corresponde delimitar, como contenido necesario, a los Estatutos de las Comunidades Autónomas, que de este modo delimitan el ámbito espacial de aplicación de los actos y disposiciones jurídicas pertenecientes al subsistema normativo de cada Comunidad Autónoma (STC 99/1986, de 11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este Tribunal ha distinguido entre el ejercicio de las competencias autonómicas, como regla general limitado al ámbito territorial correspondiente, y los efectos del ejercicio de dichas competencias, que pueden manifestarse en específicas ocasiones, fuera de dicho ámbito. En concreto, hemos afirmado que la limitación territorial de la eficacia territorial de las normas y actos no puede significar que le esté vedado a una Comunidad Autónoma, en uso de sus competencias propias, adoptar decisiones susceptibles de producir consecuencias de hecho en otros lugares del territorio nacional. La privación a las Comunidades Autónomas de la posibilidad de actuar cuando sus actos pudieran originar consecuencias más allá de sus límites territoriales supondría en la práctica privarlas de capacidad de actuación” [STC 79/2017, FJ 13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cuestión planteada en este proceso, esto es, si resulta conforme al orden constitucional de distribución de competencias, la atribución de eficacia extraterritorial a las actuaciones ejecutivas autonómicas, señala la citada Sentencia que “el reconocimiento por parte del Estado de efectos supraautonómicos a las actuaciones autonómicas tiene, en principio un límite claro: la imposibilidad de reconocer tales efectos cuando no existe una equivalencia en las normativas aplicables. En la medida en que exista una legislación estatal común, o exista una pluralidad de legislaciones autonómicas que, no obstante sus posibles diferencias técnicas o metodológicas, fijen un estándar que pueda ser considerado como equivalente, el Estado podrá reconocer a las decisiones ejecutivas autonómicas efectos extraterritoriales a través de la imposición del reconocimiento de la decisión adoptada en una determinada Comunidad Autónoma al resto. Así lo habría reconocido nuestra doctrina en relación con las actuaciones autonómicas de carácter ejecutivo (SSTC 243/1994, 175/1999, 126/2002, 14/2004 y 33/2005)” [STC 79/2017, FJ 13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que venimos citando viene, además, a recordar expresamente la constitucionalidad de la eficacia extraterritorial de las actuaciones ejecutivas autonómicas en materia de control metrológico, como trasunto concreto de su doctrina general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se ha referido en alguna ocasión al razonable reconocimiento de la eficacia extraterritorial o supracomunitaria de determinadas acciones efectuadas por las Administraciones autonómicas cuando se trata de supuestos de actuación ejecutiva autonómica que aplicaban un estándar equivalente al recogido en una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aconteció, por ejemplo, en las SSTC 100/1991 de 13 de mayo, o 236/1991, de 12 de diciembre, en la que este Tribunal consideró plenamente constitucional el art. 7.5 de la Ley de Metrología, que reconocía validez en todo el territorio del Estado a los controles metrológicos que, en aplicación de la misma, efectuase los órganos de la Administración del Estado o, en su caso, los de las Comunidades Autónomas. Para este Tribunal ´no existe aquí…exclusión alguna de las facultades autonómicas de ejecución, sino un razonable reconocimiento de la eficacia extraterritorial o supracomunitaria de la actividad de control efectuada por las Administraciones autonómicas´ (STC 236/1991, de 12 de diciembre, FJ 5). En estos supuestos, siendo las normas a aplicar comunes, pues la legislación sobre pesas y medidas es una competencia exclusiva del Estado (art. 149.1.12 CE), este Tribunal ha admitido que los actos autonómicos que se limitan a aplicar, además con carácter reglado, tales normas puedan surtir efectos en todo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la medida en que exista una normativa de la Unión Europea armonizada o una legislación estatal común, o exista una pluralidad de legislaciones autonómicas que, no obstante sus posibles diferencias técnicas o metodológicas, fijen un estándar que pueda ser considerado equivalente, el Estado podrá reconocer a las decisiones autonómicas efectos extraterritoriales a través de la imposición del reconocimiento de la decisión adoptada en una determinada Comunidad Autónoma en el resto” [STC 79/2017, FJ 12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explícito y reiterado reconocimiento en la doctrina constitucional, de la eficacia extraterritorial de las decisiones adoptadas en materia de control metrológico en una Comunidad Autónoma, en razón de su carácter de actuaciones ejecutivas que se limitan a aplicar con carácter reglado una legislación estatal común, permite rechazar la impugnación dirigida contra el precepto que se analiza. El artículo 19.3, segundo inciso viene a hacer efectivo el principio de unidad de mercado, recogido en el artículo 139 CE, definiendo las condiciones comunes de acceso y de ejercicio por los organismos de control, sin alterar el contenido material de las competencias atribuidas a las Comunidades Autónomas; y no infringe el principio de seguridad jurídica del artículo 9.3 CE, en cuanto se limita a contemplar unos requisitos comunes para el ejercicio del control metrológico en todo el territorio, sin que ello suponga —como afirma el escrito de demanda— la aplicación de diecisiete normativas diferentes, dado que la normativa es única, y corresponde establecerla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 asimismo rechazarse el argumento contenido en la demanda sobre el alcance de las competencias autonómicas para el desarrollo del derecho comunitario europeo, y ello porque, como reiteradamente hemos señalado, “son las reglas internas de delimitación competencial las que en todo caso han de fundamentar la respuesta a los conflictos planteados entre el Estado y las Comunidades Autónomas”, pues el “derecho comunitario no es en sí mismo canon o parámetro directo de constitucionalidad en los procesos constitucionales”; “las normas del Derecho de la Unión Europea, originario o derivado, carecen de rango y fuerza constitucionales”; y el orden competencial establecido por la Constitución “no resulta alterado ni por el ingreso de España en la Comunidad Europea ni por la promulgación de las normas comunitarias” (por todas, STC 165/2016, de 6 de octubre, FJ 6), razón por la cual, nuestro enjuiciamiento debe circunscribirse a determinar si las concretas normas impugnadas pueden considerarse o no dictadas en el legítimo ejercicio de las competencias que la Constitución atribuye al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