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17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2255-2016, interpuesto por el Presidente del Gobierno, representado por la Abogada del Estado, contra los artículos 1, 4, 9.1, 11 y 12 de la Ley del Parlamento de Cataluña 14/2015, de 21 de julio, del impuesto sobre las viviendas vacías, y de modificación de normas tributarias y de la Ley 3/2012. Han comparecido y formulado alegaciones la Generalitat y el Parlamento de Cataluña, por medio de sus respectivos Letrados.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abril de 2016, la Abogada del Estado, en representación del Presidente del Gobierno, interpuso recurso de inconstitucionalidad contra los artículos 1, 4, 9.1, 11 y 12 de la Ley del Parlamento de Cataluña 14/2015, de 21 de julio, del impuesto sobre las viviendas vacías, y de modificación de normas tributarias y de la Ley 3/2012, publicada en el “Diari Oficial de la Generalitat de Catalunya” núm. 6.919, de 23 de julio de 2015. En la demanda se hace invocación expresa del artículo 161.2 CE, a los efectos de que se acuerde la suspensión de la vigencia y aplicación de los preceptos legales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parte del reconocimiento de la potestad tributaria de las Comunidades Autónomas en los artículos 133.2 y 157.1 CE, así como de los límites establecidos en la Ley Orgánica a que se refiere el artículo 157.3 CE —la Ley Orgánica 8/1980, de 22 de septiembre, de financiación de las Comunidades Autónomas, (LOFCA)—, cuyo artículo 6 prevé unas restricciones para la creación de tributos propios, de forma que estos no podrán recaer sobre hechos imponibles gravados por los tributos estatales o locales, límite que, en la interpretación realizada por el Tribunal Constitucional, no impide establecer tributos propios sobre fuentes impositivas ya gravadas, sino únicamente la duplicidad o coincidencia de hechos imponibles. Cita, en particular, la STC 30/2015, de 19 de febrero (impuesto sobre los depósitos en las entidades de crédito), según la cual, para apreciar la coincidencia entre hechos imponibles se debe atender a los elementos esenciales de los tributos que se comparan.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lo anterior, considera que el hecho imponible del tributo autonómico que se impugna coincide con el del impuesto sobre bienes inmuebles (IBI), como sucede también con los sujetos pasivos de ambas figuras. La coincidencia se acentúa a la vista del recargo del IBI regulado en los párrafos tercero y cuarto del artículo 72.4 de la Ley reguladora de haciendas locales (LHL), introducido por la Ley 51/2002, de 27 de diciembre, para inmuebles de uso residencial que se encuentren desocupados con carácter permanente. Según la demanda, la previsión contenida en la disposición adicional primera de la Ley 14/2015 para que se introduzcan medidas compensatorias en favor de las entidades locales que en el futuro pudieran establecer el recargo citado confirma la duplicidad indicada, ya que si no fuera así no se anunciarían tales compensaciones. Y aunque la coincidencia de hechos imponibles ya sería suficiente para justificar la inconstitucionalidad del impuesto autonómico, añade que también coinciden los sujetos pasivos, al menos parcialmente, ya que el impuesto sobre las viviendas vacías solo recae sobre personas jurídicas, mientras que el IBI y el recargo mencionado gravan tanto a las personas físicas como jurídicas. Igualmente, coincide el ámbito objetivo de ambos impuestos, que son los inmuebles de uso residencial desocupados, así como el periodo impositivo y el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llegar a la conclusión anterior, no es óbice el hecho de que el recargo a que se refiere el artículo 72.4 LHL no se haya aplicado hasta el momento. Citando el dictamen del Consejo de Estado emitido en relación con la presente impugnación, aduce que la falta de aplicación del recargo indicado no puede alterar las reglas competenciales aplicables, puesto que toda vivienda no ocupada está potencialmente sujeta a la exigencia del mismo, de forma que unos mismos sujetos estarían sometidos a doble tributación por un mismo concepto, que es el efecto que la Ley Orgánica de financiación de las Comunidades Autónomas (art. 6.3) trata de impedir.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solicitando al Tribunal que declare la inconstitucionalidad y nulidad de los artículos 1, 4, 9.1, 11 y 12 de la Ley catalana 14/2015.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abril de 2016, el Pleno del Tribunal Constitucional, a propuesta de la Sección Tercera, acordó admitir a trámite el recurso de inconstitucionalidad, dar traslado de la demanda y de los documentos presentados, conforme establece el artículo 34 de la Ley Orgánica del Tribunal Constitucional (LOTC), al Congreso de los Diputados y al Senado, así como al Gobierno y al Parlamento de Cataluña, al objeto de que en el plazo de 15 días pudieran personarse en el proceso y formular las alegaciones que estimaren convenientes. Asimismo, se tuvo por invocado el artículo 161.2 CE, lo que, conforme dispone el artículo 30 LOTC, produce la suspensión de la vigencia y aplicación de los preceptos impugnados desde la fecha de interposición del recurso. Por último, también se ordenó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mediante un escrito registrado el día 11 de mayo de 2016, comunicó que la Mesa de la Diputación Permanente, en su reunión de 10 de mayo, había acordado la personación en este procedimiento, el ofrecimiento de su colaboración a los efectos del artículo 88.1 LOTC y la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12 de mayo de 2016 el Letrado del Parlamento de Cataluña comunicó el acuerdo de la mesa de 10 de mayo de 2016 de personación en el presente recurso de inconstitucionalidad y solicitó de este Tribunal, además de la admisión del escrito y de los documentos que lo acompañan, una prórroga para formular alegaciones, dada la complejidad del asunto y el volumen de trabajo acumulado por dicha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13 de mayo de 2016, el Pleno acordó incorporar a las actuaciones el escrito presentado por el Letrado del Parlamento de Cataluña, tenerle por personado en representación de la Cámara y conceder una prórroga de ocho días más sobre el plazo concedido por providencia de 28 de abril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registrado el día 19 de mayo de 2016, comunicó que la Mesa de la Diputación Permanente, en su reunión de 4 de mayo, había acordado la personación en este procedimiento y el ofrecimiento de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30 de mayo de 2016, la Abogada de la Generalitat de Cataluña, en su representación y defensa, se opuso a la demanda con base en los razonamientos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Califica el recurso del Presidente del Gobierno como “un tanto difuso”, sin que del mismo se desprenda con claridad si la duplicidad invocada es con el IBI o con el recargo previsto en el mismo para viviendas desocupadas, por lo que sus alegaciones deslindarán el tributo autonómico con ambas figuras. Comenzando por el IBI, entiende que su hecho imponible no es el mismo que el del impuesto sobre las viviendas vacías, pues este recae sobre la desocupación permanente de una vivienda durante más de dos años seguidos sin causa justificada, en la medida en que afecta a la función social de la propiedad, por lo que se asimila al tributo enjuiciado en la STC 37/1987, de 26 de marzo (impuesto sobre tierras infrautilizadas de Andalucía), en la que se concluyó que no cabe identificar la infrautilización de un bien con su propiedad, que es lo que grava el IBI, y lo hace en atención a su valor, al margen de otras circunstancias, como la de ser una vivienda desocupada.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diferencias no se limitan al hecho imponible, sino que se extienden a los elementos de cuantificación del impuesto. Así, la base imponible en el impuesto sobre las viviendas vacías se determina por el número total de metros cuadrados de viviendas desocupadas, con independencia de su valor de mercado, situación, circunstancias urbanísticas o cualquier otro parámetro que incide en el valor catastral (base imponible del IBI), pues lo relevante es la superficie que podría estar destinada a vivienda y no lo está. También difieren en el tipo de gravamen, que en el impuesto sobre las viviendas vacías es una cantidad por metro cuadrado, en aumento conforme crece la superficie de vivienda desocupada de la que es titular el sujeto pasivo; mientras que en el IBI es un tipo porcentual fijo, aplicable sobre una base monetaria (el valor catastral). Por último, en el impuesto sobre las viviendas vacías se regulan unas bonificaciones para reducir la carga tributaria cuando el contribuyente destine una parte de sus viviendas al alquiler asequible en los municipios de Cataluña con demanda fuerte y acreditada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impuesto sobre las viviendas vacías y el IBI se distinguen también por la figura del sujeto pasivo, que en aquel son tan solo determinados tipos de personas jurídicas tenedoras de numerosas viviendas vacías, en tanto que en el impuesto local son todas las personas naturales y jurídicas, así como los entes sin personalidad jurídica del artículo 35.4 de la Ley general tributaria (LGT). E insiste en el carácter extrafiscal del impuesto autonómico, confirmado por sus elementos estructurales, frente a la finalidad puramente recaudatoria del tributo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referente al recargo previsto en el IBI para viviendas desocupadas con carácter permanente, la Abogada de la Generalitat aduce que le faltan dos elementos esenciales: la concreción del concepto de inmueble de uso residencial y del plazo a partir del que debe considerarse “desocupado con carácter permanente”. Por esta razón, sostiene que dicho recargo no está vigente, por no haberse completado la definición de su hecho imponible, lo que impide que se produzca la duplicidad prohibida por el artículo 6.3 LOFCA. Añade que han transcurrido más de trece años desde que la Ley 51/2002 “esbozara de forma incompleta” el recargo del IBI y que si se admitiera que esto impide a la Comunidad Autónoma de Cataluña aprobar un tributo con una clara finalidad extrafiscal como el impuesto sobre las viviendas vacías “se estaría vaciando de contenido el reparto de competencias que deriva del bloque de constitucionalidad, tanto en materia de vivienda como en relación con la potestad tributaria de la Generalidad”. Finaliza señalando que la Ley del Parlamento de Cataluña 14/2015, de 21 de julio, del impuesto sobre las viviendas vacías respeta el artículo 6.3 LOFCA, por cuanto prevé medidas de compensación y coordinación adecuadas en favor de las corporaciones locales a partir de la fecha en que se desarrolle el artículo 72.4 LHL y aquellas puedan establecerlo.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expuesto, el Gobierno autonómico solicita la íntegra desestimación del recurso, interesando por otrosí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9 de junio de 2016, el Letrado del Parlamento de Cataluña formuló sus alegaciones, oponiéndose también a la demanda, lo que sustenta en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impuesto sobre las viviendas vacías se enmarca dentro de las competencias de la Generalitat en materia tributaria y de vivienda. En particular, respecto de la primera, en la que se centra la demanda de la Abogacía del Estado, y tras sintetizar la doctrina constitucional sobre el artículo 6 LOFCA, arguye que no se puede identificar el impuesto sobre las viviendas vacías con el IBI, ya que este es general y grava el valor de los inmuebles de cualquier tipo, mientras que aquel recae sobre la no utilización de un tipo específico de inmueble —la vivienda—, con un fin extrafiscal; en cuanto al sujeto pasivo, solo presentan una coincidencia parcial, habiendo atendido el legislador catalán a la STC 93/2015, de 14 de mayo, que criticó que las medidas del Decreto-ley 6/2013, de 9 de abril, de Andalucía, se dirigieran exclusivamente a las entidades financieras, de forma que aquí se incluye a cualquier persona jurídica que tenga viviendas vacías; los supuestos de no sujeción y las exenciones del impuesto sobre las viviendas vacías se diferencian también de los del IBI, pues responden al carácter extrafiscal del tributo autonómico, al igual que sucede con sus elementos de cuantificación. Hay que tener en cuenta, asimismo, que el IBI es un tributo obligatorio para todos los municipios, en tanto que el impuesto sobre las viviendas vacías  solo se aplica en los municipios que no sean declarados de “escasa demanda acreditada”, sin perturbar en modo alguno la exacción del IBI.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al recargo por inmuebles urbanos de uso residencial desocupados con carácter permanente que recoge el artículo 72.4 LHL, el Letrado del Parlamento catalán asevera que es una norma incompleta y que los Ayuntamientos que han intentado desarrollarlo se han encontrado con el rechazo judicial por ser una competencia estatal. Esto significa que el citado recargo no está vigente, por lo que la doble imposición prohibida no tiene lugar. Y explica que, si se aceptara la interpretación del Estado, se estaría admitiendo que la aplicación de un tributo autonómico con una clara finalidad extrafiscal se puede bloquear “por el mero hecho de mantener incompleta la definición de hecho imponible del recargo del IBI, simulando una falsa vigencia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Parlamento de Cataluña deslinda el presente supuesto del enjuiciado en la citada STC 93/2015, que declaró inconstitucional la expropiación de uso de la vivienda prevista en la disposición adicional segunda del Decreto-ley 6/2013, de 9 de abril, de Andalucía, porque obstaculizaba la política del Estado amparada en el artículo 149.1.13 CE. A diferencia de dicha medida autonómica, la Ley catalana 14/2015 no regula ningún mecanismo que sea incompatible o interfiera con la normativa estatal, pues incluso establece medidas de coordinación con el futuro e hipotético recargo municipal en el IBI previsto en el artículo 72.4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reiterando que las marcadas diferencias existentes entre el impuesto impugnado y el IBI, incluido el recargo sobre inmuebles de uso residencial desocupados con carácter permanente, llevan a excluir la vulneración del artículo 6.3 LOFCA, por lo que insta a que se declare la plena constitucionalidad de los artículos impugnados, interesando, asimismo,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Constitucional acordó, mediante providencia de 13 de junio de 2016, incorporar a los autos los escritos de alegaciones formulados por la Abogada de la Generalitat y el Letrado del Parlamento, y, en cuanto a la solicitud que formulaban sobre el levantamiento de la suspensión de los preceptos objeto del recurso, oír a la Abogacía del Estado para que, en el plazo de cinco días, pudiera exponer lo que estimare pertinente. La Abogada del Estado evacuó el trámite conferido mediante un escrito registrado el 21 de junio de 2016, en el que solicitaba que se mantuviera la suspensión, acompañando sendos informes de la Dirección General de Tributos y del Instituto Nacional de Estadística, en los que se cuantificaban los perjuicios que se producirían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dictó Auto de 20 de septiembre de 2016, acordando levantar la suspensión de los artículos 1, 4, 9.1, 11 y 12 de la Ley del Parlamento de Cataluña 14/2015, de 21 de julio, del impuesto sobre las viviendas vacías y de modificación de normas tributarias y de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enero de 2019 se señaló para deliberación y votación de la presente Sentencia el día 17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Como se ha expuesto en los antecedentes, mediante el presente recurso de inconstitucionalidad el Presidente del Gobierno impugna los artículos 1, 4, 9.1, 11 y 12 de la Ley del Parlamento de Cataluña 14/2015, de 21 de julio, del impuesto sobre las viviendas vacías, y de modificación de normas tributarias y de la Ley 3/2012, por vulnerar el artículo 6.3 de la Ley Orgánica 8/1980, de 22 de septiembre, de financiación de las Comunidades Autónomas (en lo que sigue, LOFCA), en relación con los tributos locales, y específicamente, con el impuesto sobre bienes inmuebles (IBI).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 la Generalitat y la del Parlamento de Cataluña postulan la desestimación del recurso porque entienden que los preceptos recurridos se ajustan a la competencia de dicha Comunidad para establecer sus propios tributos, con base en los artículos 133.2 y 157.1 b) CE y en los artículos 202.3 a) y 203.5 del Estatuto de Autonomía de Cataluña (Ley Orgánica 6/2006, de 19 de julio, EAC), en conexión con la competencia en materia de vivienda (art. 137 EAC), dada la finalidad extrafiscal del tributo controvertido, que es aumentar la oferta de vivienda en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 Con carácter previo al examen de fondo, procede efectuar determinadas consideraciones preliminares, a fin de delimitar con precisión el objeto de la controversia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posterioridad a la interposición del presente recurso de inconstitucionalidad, la Ley del Parlamento de Cataluña 14/2015 ha sido modificada por la Ley 5/2017, de 28 de marzo, de medidas fiscales, administrativas, financieras y del sector público (“Diari Oficial de la Generalitat de Catalunya” núm. 7.340, de 30 de marzo de 2017). En concreto, el artículo 4 de dicha Ley da nueva redacción a los artículos 11 (base imponible) y 15 (autoliquidación) para establecer un mínimo exento y excluir la obligación de presentar autoliquidación en ciertos casos,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estas modificaciones no han afectado al objeto del presente proceso constitucional, toda vez que, conforme a la constante doctrina de este Tribunal, el objeto de los recursos de inconstitucionalidad no se altera por la eventual modificación de las normas impugnadas cuando, como aquí sucede, se trata de una controversia competencial que no ha cesado, cuya resolución es el fin último de este proceso (entre otras, SSTC 18/2011, de 3 de marzo, FJ 3, y 148/2012, de 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 pesar de que el recurso se contrae a los artículos 1 (naturaleza y objeto), 4 (hecho imponible), 9.1 (sujeto pasivo, sin incluir los apartados 2 y 3 referidos a la tributación consolidada), 11 (base imponible) y 12 (cuota íntegra) de la Ley del Parlamento de Cataluña 14/2015, para su resolución se ha de atender al conjunto de dicha Ley, con la sola excepción de las disposiciones modificativas primera, segunda, cuarta y quinta, que no están referidas al tributo controvertido, dado que el vicio de inconstitucionalidad, en caso de existir, afectaría a toda la regulación del impuesto sobre las viviendas vacías. Los preceptos no impugnados solo tienen eficacia normativa cuando se ponen en conexión con los recurridos, por lo que nuestro análisis no debe ceñirse a estos, sino que habrá de referirse a toda la regulación legal del tributo. A este respecto, deberá tenerse en cuenta la facultad que el artículo 39.1 de la Ley Orgánica del Tribunal Constitucional confiere a este Tribunal, en caso de declarar la inconstitucionalidad y nulidad de los preceptos impugnados, de extender la citada declaración, “por conexión o consecuencia”, a otros preceptos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aplicable. Hechas las precisiones que anteceden, para el enjuiciamiento que se nos demanda debemos recordar nuestra doctrina sobre los límites al poder tributario de las Comunidades Autónomas, así como la específica relativa al artículo 6.3 LOFCA, en la redacción dada por la Ley Orgánica 3/2009, que cabe sintetizar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canon de constitucionalidad aplicable a las normas de las Comunidades Autónomas es el contenido en sus respectivos Estatutos de Autonomía [en lo que aquí interesa, en los artículos 202.3 a) y 203.5 EAC] y en las leyes estatales que, dentro del marco constitucional, se hubieran dictado para delimitar las competencias entre el Estado y las Comunidades Autónomas (por todas, STC 7/2010, de 27 de abril, FJ 4). Entre esas leyes delimitadoras ocupa un lugar destacado, en lo que a competencias financieras se refiere, la Ley Orgánica de financiación de las Comunidades Autónomas [entre otras, STC 53/2014, de 10 de abril, FJ 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vigente artículo 6.3 de la Ley Orgánica de financiación de las Comunidades Autónomas (LOFCA), cuya vulneración se invoca en el presente recurso, dispone que “[l]os tributos que establezcan las Comunidades Autónomas no podrán recaer sobre hechos imponibles gravados por los tributos locales. Las Comunidades Autónomas podrán establecer y gestionar tributos sobre las materias que la legislación de régimen local reserve a las corporaciones locales. En todo caso, deberán establecerse las medidas de compensación o coordinación adecuadas a favor de aquellas corporaciones, de modo que los ingresos de tales corporaciones locales no se vean mermados ni reducidos tampoco en sus posibilidades de crecimiento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ilustrar sobre la finalidad de la redacción dada al artículo 6.3 LOFCA por la Ley Orgánica 3/2009, a partir de lo expuesto en su preámbulo, este Tribunal declaró en la STC 122/2012, de 5 de junio, y ha reiterado recientemente en la STC 120/2018, de 31 de octubre, que con ella se “ha pretendido clarificar también los límites para la creación de tributos propios por las Comunidades Autónomas y para ello y con el fin de reducir la conflictividad, se modifica el artículo sexto de la LOFCA para que las reglas de incompatibilidad se refieran al ‘hecho imponible’ y no a la ‘materia imponible’, con lo que habría un espacio fiscal autonómico más claro en relación con los tributos locales, con una delimitación similar a la que existe en relación con los tributos estatales”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las mencionadas Sentencias siguen destacando que “este precepto fue aprobado sin debate ni enmiendas, dado que el proyecto de la Ley Orgánica respetó los términos en los que se había pronunciado el Consejo de Política Fiscal y Financiera, en cuyo seno se adoptó el punto 4.4.9. del acuerdo 6-2009, de 15 de julio, para la reforma del sistema de financiación de las Comunidades Autónomas de régimen común y ciudades con estatuto de autonomía, cuyo contenido fue el siguiente: ‘Aunque los tributos propios no forman parte del sistema de financiación, para mayor seguridad jurídica sobre las reglas de incompatibilidad con los tributos del Estado y de las entidades locales, se propone revisar los límites actualmente existentes en la Ley Orgánica de financiación de las Comunidades Autónomas para la creación de los tributos propios por las Comunidades Autónomas lo que también podría ampliar el espacio fiscal de las Comunidades Autónomas’” (STC 120/2018, de 31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finalidad de la modificación del artículo 6.3 LOFCA es ampliar el espacio fiscal de las Comunidades Autónomas respecto de los tributos locales, sustituyendo el límite basado en la “materia imponible” por el referido al “hecho imponible”, a semejanza de lo que venía haciendo, sin cambios desde su redacción original, el artículo 6.2 LOFCA, en relación con los tributos estatales (STC 120/2018,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modificación de los límites a la creación de tributos propios debe interpretarse a la luz de la reiterada doctrina constitucional, que arranca de la STC 37/1987, de 26 de marzo, en la que se indicaba que debía descartarse “una identificación entre los conceptos de ‘materia imponible’ y ‘hecho imponible’ que conduce a una interpretación extensiva del artículo 6.2 LOFCA, notoriamente alejada del verdadero alcance de la prohibición que en dicha norma se contiene” (FJ 14). La citada sentencia continuaba puntualizando que “por materia imponible u objeto del tributo debe entenderse toda fuente de riqueza, renta o cualquier otro elemento de la actividad económica que el legislador decida someter a imposición, realidad que pertenece al plano de lo fáctico”, en tanto que “el hecho imponible es un concepto estrictamente jurídico que, en atención a determinadas circunstancias, la Ley fija en cada caso ‘para configurar cada tributo y cuya realización origina el nacimiento de la obligación tributaria’, según reza el artículo 28 de la Ley general tributaria [hoy artículo 20]. De ahí que, en relación con una misma materia impositiva, el legislador pueda seleccionar distintas circunstancias que den lugar a otros tantos hechos imponibles, determinantes a su vez de figuras tributarias diferentes”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las anteriores precisiones conceptuales siempre que ha tenido que examinar la adecuación al artículo 6.2 LOFCA de las figuras tributarias creadas por las Comunidades Autónomas, por su posible duplicidad con tributos estatales (entre otras, SSTC 186/1993, de 7 de junio, FJ 4; 49/1995, de 16 de febrero, FJ 4; 210/2012, de 14 de noviembre, FJ 4, y 74/2016, de 14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primera sentencia en la que este Tribunal abordó el canon del artículo 6.3 LOFCA, tras su modificación por la Ley Orgánica 3/2009, (la ya citada STC 122/2012) ya constató que dicho precepto contiene ahora un límite similar al previsto en el apartado segundo del artículo 6 LOFCA desde su redacción original, por lo que la doctrina constitucional acerca de dicho apartado debía extenderse (así lo hizo en la citada STC 122/2012, FJ 3) a las controversias que hubieran de dirimirse en relación con los tributos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 forma ha procedido este Tribunal al enjuiciar otros tributos autonómicos a la luz del “nuevo” artículo 6.3 LOFCA, llegando a un pronunciamiento favorable a su constitucionalidad. Así: i) en la STC 210/2012, de 14 de noviembre, relativa al impuesto sobre depósitos en entidades de crédito de Extremadura; ii) en las SSTC 122/2012, de 5 de junio; 96/2013, de 23 de abril; 200/2013, de 5 de diciembre, y 53/2014, de 10 de abril, todas referidas al impuesto sobre grandes establecimientos comerciales de distintas Comunidades Autónomas; iii) en los AATC 183/2016 y 185/2016, de 15 de noviembre, sobre el canon eólico de Castilla-La Mancha y iv) en la STC 120/2018, de 31 de octubre, en relación con el impuesto extremeño sobre instalaciones que inciden en el medio ambiente; resoluciones todas ellas que han declarado la constitucionalidad de los tributos autonómicos impugnados porque en ningún caso apreciaron la duplicidad de hechos imponibles de aquellos con el IBI o con el IAE, según procediera.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propósito de los límites del artículo 6 LOFCA no es evitar cualquier supuesto de doble imposición, algo que resulta imposible en los sistemas tributarios modernos, integrados por una pluralidad de figuras que necesariamente coinciden o se solapan, al menos parcialmente, al recaer sobre distintas modalidades de renta, patrimonio o consumo. Se trata, en cambio, de garantizar que el ejercicio del poder tributario por los distintos niveles territoriales sea compatible con la existencia de “un sistema” en los términos exigidos por el artículo 31.1 CE [SSTC 19/1987, de 17 de febrero, FJ 4, y 19/2012, de 15 de febrero, FJ 3 b)]; objetivo que debe cohonestarse con el reconocimiento a las Comunidades Autónomas de la potestad de establecer tributos [arts. 133.2 y 157.1 b) CE], y que la Comunidad Autónoma de Cataluña tiene asumida en los artículos 202.3 a) y 203.5 EAC, de forma que “ninguno de los límites constitucionales que condicionan dicho poder tributario puede ser interpretado de tal manera que haga inviable el ejercicio de aquella potestad tributaria” (entre otras, SSTC 150/1990, de 4 de octubre, FJ 3; 289/2000, de 30 de noviembre, FJ 3, y 210/2012,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igualmente que la potestad tributaria reconocida a las Comunidades Autónomas entronca con la autonomía financiera que proclama el artículo 156.1 CE y con la corresponsabilidad fiscal que deriva de ella, en concreto, con la capacidad para generar un sistema propio de recursos (por todas, la STC 204/2011, de 15 de diciembre, FJ 8); lo que este Tribunal también ha conectado con “las exigencias derivadas de la estabilidad presupuestaria” [STC 53/2014, de 10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las cosas, para apreciar la coincidencia entre hechos imponibles, que es lo vedado por el artículo 6 LOFCA, en sus apartados segundo y tercero, este último después de su modificación por la Ley Orgánica 3/2009, se hace preciso atender a los elementos esenciales de los tributos que se confrontan, al objeto de determinar la “manera” en que la correspondiente fuente de capacidad económica es sometida a gravamen en la estructura del tributo. Para lo cual se habrá de analizar, además del hecho imponible en sentido estricto, otros aspectos como los supuestos de no sujeción y exención, el sujeto pasivo y los elementos de cuantificación (STC 74/2016, de 14 de abril, FJ 4, y ATC 183/2016,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elementos a comparar se encuentra —no debe olvidarse— la posible concurrencia de fines extrafiscales en el conjunto del tributo o en alguno de sus elementos centrales (STC 210/2012, FJ 4). Al respecto, este Tribunal ha puntualizado que la finalidad extrafiscal no es incompatible con un propósito recaudatorio, aunque sea secundario, lo que es inherente al propio concepto de tributo. De hecho, en los sistemas tributarios modernos, en los que coexisten diversas figuras tributarias, es frecuente que, junto a la recaudatoria, se persigan otras finalidades [STC 19/2012, de 15 de febrero, FJ 3 a)]. De lo cual se deduce que la naturaleza extrafiscal o recaudatoria de un tributo es una cuestión de grado, por lo que difícilmente existirán casos “puros” [STC 120/2018,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Descripción del tributo autonómico y del IBI. Partiendo del canon expuesto en el fundamento anterior, es momento ya de examinar el fondo de la controversia, mediante el contraste entre el impuesto sobre las viviendas vacías y el IBI, para así dilucidar si aquel recae sobre el mismo hecho imponible gravado por este, como mantiene el recurso del Presidente del Gobierno, o si se trata de tributos que gravan hechos imponibles diferentes, según argumentan la Generalitat y el Parlamento de Cataluña. Para ello es necesario sintetizar los elementos relevantes de cada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impuesto sobre las viviendas vacías, según su ley reguladora, “grava el incumplimiento de la función social de la propiedad de las viviendas por el hecho de permanecer desocupadas de forma permanente” (art. 1), siendo su hecho imponible “la desocupación permanente de una vivienda durante más de dos años sin causa justificada” en razón de que “dicha desocupación afecta a la función social de la propiedad de la vivienda” (art. 4) el artículo 6 de la Ley 14/2015 especifica que la ocupación puede tener lugar en calidad de propietario o por título de arrendamiento u otro análogo y los artículos 7 y 8 regulan, respectivamente, la forma de computar los dos años de desocupación y las causas que la ley considera justificativas de la misma, a efectos de no exigir el gravamen. Estas causas son: i) que la vivienda sea objeto de un litigio judicial pendiente de resolución en lo que concierne a su propiedad; ii) que se tenga que rehabilitar, siempre que se cumplan ciertas condiciones; iii) que esté hipotecada con cláusulas contractuales que imposibiliten o hagan inviable destinarla a un uso distinto al que se había previsto inicialmente; iv) que esté ocupada ilegalmente y v) que forme parte de un edificio adquirido íntegramente por el sujeto pasivo en los últimos cinco años, para su rehabilitación.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 anterior, el artículo 10 Ley catalana 14/2015 recoge unas exenciones, tanto subjetivas, para las entidades del tercer sector de la red de viviendas de inserción regulada en el plan correspondiente y las entidades inscritas en el registro de entidades y establecimientos de servicios sociales de Cataluña; como objetivas, para determinadas viviendas, en concreto: i) las protegidas con calificación oficial vigente; ii) las ubicadas en zonas de escasa demanda acreditada (según se desarrolla en la disposición transitoria segunda); iii) las puestas a disposición de programas sociales de vivienda convenidos con las administraciones públicas y iv) las destinadas a usos regulados por la legislación turística o a otras actividades económicas no residenciales.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sujetos pasivos del impuesto sobre las viviendas vacías, a título de contribuyentes, son las personas jurídicas propietarias o titulares de un derecho de usufructo, de superficie o de cualquier otro derecho real que otorgue la facultad para la explotación económica de la vivienda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cuantificación del tributo se parte del número total de metros cuadrados de las viviendas de que es titular el sujeto pasivo, que es la base imponible (art. 11), sin computar el mínimo exento de 150 m2 (introducido por la Ley 5/2017, de 28 de marzo). Sobre tal magnitud se aplican unos tipos progresivos según tramos de base imponible, a razón de una cantidad de euros por metro cuadrado, comenzando por 10 €/m2 para el primer tramo y llegando hasta 30 €/m2 para el tramo de superficie desocupada que exceda de 40.000 m2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cuota líquida se obtiene tras aplicar a la cuota íntegra que resulta de la operación anterior una bonificación concebida para los sujetos pasivos que destinan una parte de su parque de viviendas al alquiler asequible o a fines análogos, según porcentajes crecientes a medida que aumenta la proporción de viviendas de su titularidad que se dedican a tal fin en municipios de Cataluña de fuerte y acreditada demanda de vivienda, en los términos recogidos en el artículo 13 de la Ley 14/2015. Dicha bonificación puede alcanzar un 100 por 100 (en cuyo caso, la cuota líquida del impuesto sobre las viviendas vacías será cero) cuando el sujeto pasivo destine más del 67 por 100 de su parque de viviendas al alquiler asequible o a sistemas de propiedad compartida, tenencia intermedia o propiedades temporales recogidos por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devengo del impuesto sobre las viviendas vacías se produce el 31 de diciembre de cada año, considerando el parque de viviendas del que es titular el sujeto pasivo en tal fecha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tributo autonómico tiene carácter finalista, quedando su recaudación afectada a actuaciones en materia de vivienda en los municipios donde se sitúan las viviendas desocupadas (art. 3 de la Ley 14/2015).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IBI, cuya normativa se recoge en los artículos 60 a 77 del texto refundido de la Ley reguladora de las haciendas locales, aprobado por Real Decreto Legislativo 2/2004, de 5 de marzo (LHL), viene definido como “un tributo directo de carácter real que grava el valor de los bienes inmuebles en los términos establecidos en esta ley” (art. 60), cuyo hecho imponible es la titularidad de determinados derechos sobre los bienes inmuebles, ya sean rústicos, urbanos o los denominados inmuebles de características especiales (art.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sujetos pasivos, en calidad de contribuyentes, son los titulares del derecho sobre el inmueble, ya sean personas físicas o jurídicas o entidades sin personalidad a que se refiere el artículo 35.4 de la Ley 58/2003, de 17 de diciembre, general tributaria (art.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base imponible del IBI es el valor catastral, fijado conforme a lo dispuesto en el Real Decreto Legislativo 1/2004, de 5 de marzo, por el que se aprueba el texto refundido de la Ley del catastro inmobiliario, que en su artículo 23.1 señala los criterios que se tendrán en cuenta para su determinación y que son, entre otros: i) la localización del inmueble y sus circunstancias urbanísticas; ii) el coste de ejecución material, los beneficios de la contrata, honorarios profesionales y tributos que gravan la construcción, así como el uso, la calidad y la antigüedad edificatoria, u otras condiciones de las edificaciones; iii) los gastos de producción y beneficios de la actividad empresarial de promoción y iv) las circunstancias y valores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liquidable (que es el resultado de practicar en la imponible la reducción prevista en el artículo 67 LHL para atenuar el impacto de los incrementos de valor catastral) se aplica el tipo de gravamen establecido por el ayuntamiento respectivo, dentro de los límites del artículo 72, al que luego nos referiremos. Los artículos 73 y 74 LHL prevén las bonificaciones obligatorias y potestativas, respectivamente, que se aplican a la cuota íntegra para hallar la cuota líquida.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devengo del IBI tiene lugar el primer día del periodo impositivo, que coincide con el año natural (art. 75). A diferencia del impuesto sobre las viviendas vacías, no está prevista la afectación de su recaudación a ningún fin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de la alegada duplicidad con el IBI. Una vez sintetizados los elementos definidores de cada figura, debemos ya abordar el examen comparativo que demanda el artículo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el hecho imponible en sentido estricto, frente al IBI que recae sobre la titularidad de toda clase de inmuebles, rústicos o urbanos (y dentro estos, tanto viviendas, como garajes, oficinas, naves, almacenes, etc.), en el impuesto sobre las viviendas vacías tributan solo las viviendas, y no todas, sino tan solo las que llevan desocupadas durante un determinado tiempo y sin razón que lo justifique (según las causas tasadas por la ley). Además, el IBI es un gravamen real en el que cada inmueble tributa por separado, sin tener en cuenta el número de inmuebles de un mismo titular, mientras que el impuesto sobre las viviendas vacías es personal, por cuanto atiende a la superficie total de vivienda desocupada de que es titular el sujeto pasivo. La desocupación de la vivienda —y no su mera titularidad— se convierte así en la verdadera razón del gravamen autonómico, concebido como un instrumento para que aumente la oferta de viviendas en alquiler, de modo que no se grava la propiedad per se, sino “por el hecho de permanecer desocupadas de forma permanente” (art. 1, último inciso, de la Ley del Parlamento de Cataluña 14/2015).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exenciones del impuesto sobre las viviendas vacías también conectan con la finalidad proclamada, ya que se dejan sin gravamen las viviendas situadas en zonas de escasa demanda acreditada y las puestas a disposición de programas de alquiler social,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ámbito subjetivo de los dos tributos no es el mismo ya que, conforme se ha indicado en el fundamento jurídico anterior, el impuesto catalán solo recae sobre personas jurídicas, en tanto que el IBI también grava a las personas físicas y entidades sin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modo de cuantificación de ambos tributos también difiere de forma sustancial. La base imponible del IBI es un importe monetario que refleja el valor de la propiedad o derecho real de que se trate —el valor catastral—, que se calcula, no en atención a la ocupación o desocupación, sino a partir de características ínsitas al inmueble, como su localización, calidad constructiva y antigüedad. Por el contrario, la base imponible del IVV es una unidad física: los metros cuadrados de superficie desocupada, sin atender a otra características del inmueble más que su desocupación, ya que lo relevante para satisfacer la necesidad de vivienda es la superficie en sí y no su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anterior, el tipo de gravamen del IBI es porcentual, en tanto que el impuesto sobre las viviendas vacías se cuantifica a razón de un importe por cada metro cuadrado de superficie desocupada, mayor a medida que se incrementa la superficie en tal situación en poder de un mismo sujeto pasivo. Así, su carácter progresivo hace que el incentivo para arrendar las viviendas aumente según crece la superficie desocupada.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son distintas las bonificaciones de ambos impuestos. En el impuesto sobre las viviendas vacías solo hay una (art. 13 de la Ley 14/2015) cuya ratio está conectada con el aumento de la oferta de alquiler asequible, mientras que en el IBI se prevé un amplio elenco de bonificaciones, tanto obligatorias como potestativas para los ayuntamientos, que responden a variados objetivos de política económica, social o medioambiental, pues según hemos recordado en el fundamento jurídico anterior, es habitual que tributos predominantemente fiscales incluyan normas que coadyuven a fines de carácter extrafiscal. En la STC 53/2014, de 10 de abril, FJ 4, precisamente en relación con el IBI, ya mantuvimos que su finalidad es principalmente recaudatoria “sin perjuicio de que algunos de los elementos que modulan la carga tributaria se establezcan en función de criterios extrafiscales, como sucede con algunas de las bonificaciones del artículo 74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recaudación del impuesto sobre las viviendas vacías está afectada a actuaciones en materia de vivienda en los municipios donde se sitúan las viviendas desocupadas, lo que no sucede en el IBI. Pese a que este “no es más que uno de los varios indicios —y no precisamente el más importante— a tener en cuenta a la hora de calificar la verdadera naturaleza del tributo” (por todas, STC 94/2017, de 6 de julio, FJ 8), en este caso es un rasgo que abunda sobre los ya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los elementos temporales de ambos impuestos, sí cabe apreciar cierta identidad, pues aunque el IBI tiene formalmente un periodo impositivo del que carece el impuesto sobre las viviendas vacías en la práctica ambos se comportan como impuestos instantáneos, que se exigen a quien sea titular de los bienes a la fecha de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los impuestos contrastados no tienen la misma finalidad, ya que el impuesto sobre las viviendas vacías es fundamentalmente extrafiscal; en concreto, pretende incentivar la puesta en alquiler de viviendas desocupadas. En cambio, el IBI es principalmente fiscal (por todas, STC 179/2006, de 13 de junio, FJ 5), sin perjuicio de que algunos de los elementos que modulan la carga tributaria se establezcan en función de criterios extrafiscales, siempre con carácter secundario, tal y como ya hemos apuntado.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del tributo autonómico aquí recurrido es análoga a la del impuesto sobre tierras infrautilizadas de Andalucía, respecto del cual indicó este Tribunal que “es obvio que no cabe identificar la ‘infrautilización’ de fincas rústicas —hecho imponible del impuesto andaluz— con la ‘propiedad’ de todo tipo de bienes, aunque entre ellos se encuentren las fincas rústicas, que es el hecho que grava el impuesto estatal” (STC 37/1987, FJ 14). Es cierto que en dicha Sentencia el tributo autonómico no se contrastaba con el IBI sino con el impuesto sobre el patrimonio (con su hecho imponible, aplicando el artículo 6.2 LOFCA), pero el razonamiento es perfectamente trasladable pues, como hemos visto, el IBI también sujeta a gravamen la propiedad (así como otros derechos), aunque no de todos los bienes, como el impuesto sobre el patrimonio, sino solo de los inmuebles, teniendo ambos tributos un fin fiscal, sin perjuicio de la posible concurrencia de elementos extrafiscales accesorios.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un tributo de naturaleza fiscal que grava la propiedad y otros derechos sobre los inmuebles como expresión de la capacidad económica (art. 31.1 CE), el impuesto andaluz enjuiciado en la STC 37/1987, al igual que el impuesto sobre las viviendas vacías catalán aquí analizado, presentan una marcada orientación extrafiscal, pues “la intentio legis del tributo no es crear una nueva fuente de ingresos públicos con fines estrictamente fiscales o redistributivos” (STC 37/1987, FJ 13), sino disuadir a los titulares del incumplimiento de las obligaciones inherentes a la función social de la propiedad, referida en el impuesto sobre tierras infrautilizadas a la propiedad agraria, y en el impuesto sobre las viviendas vacías, a las viviendas desocupadas, para las que a la previsión general del artículo 33.2 CE se añade el reconocimiento del “derecho a una vivienda digna y adecuada” y el mandato de que “[l]os poderes públicos promoverán las condiciones necesarias y establecerán las normas pertinentes para hacer efectivo este derecho” (art. 47 CE). Efectivamente, los rasgos del impuesto sobre las viviendas vacías que se han descrito confirman que está orientado a que aumente el stock de viviendas en alquiler, lo que no es el caso del IBI.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tributo que enjuiciamos también guarda notoria similitud con el impuesto sobre suelo sin edificar y edificaciones ruinosas establecido por la Ley de la Asamblea de Extremadura 9/1998, de 26 de junio, que fue examinado en el ATC 417/2005, de 22 de noviembre. A diferencia de la STC 37/1987, que analizaba la posible colisión con el impuesto sobre el patrimonio, el ATC 417/2005 valoró la posible duplicidad del tributo autonómico con el IBI. Pese a que ambos tributos tienen como base imponible el valor catastral, dimos por acreditada la naturaleza extrafiscal del impuesto autonómico por cuanto “se dirige a disuadir el incumplimiento de las obligaciones que la normativa autonómica de Extremadura impone a los titulares de los bienes inmuebles descritos, buscando estimular una utilización racional, eficaz y eficiente del suelo” (FJ 6). Y aunque en tal ocasión se analizaba la duplicidad de “materias”, según la redacción del artículo 6.3 LOFCA aplicable ratione temporis, es evidente que con mayor razón se habría descartado la duplicidad de hechos imponibles, habida cuenta que este último límite es menos restrictivo.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entre el impuesto sobre las viviendas vacías y el IBI se aprecian diferencias sustanciales, que llevan a concluir que no estamos ante tributos “coincidentes” (STC 210/2012, FJ 6) ni “equivalentes” (STC 53/2014, FJ 3) a efectos del artículo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 la alegada duplicidad con el recargo sobre viviendas desocupadas del IBI. La conclusión alcanzada en el fundamento anterior no se enerva por la circunstancia de que el artículo 72.4 LHL prevea un recargo en el IBI para viviendas desocupadas. La Abogada del Estado aduce que existe una coincidencia entre el tributo impugnado y dicho recargo, a lo que añade que la Ley del Parlamento de Cataluña 14/2015, de 21 de julio está invadiendo la competencia exclusiva que para el desarrollo del tributo local tiene el Estado. Esta alegación que no puede tener favorable acogida, según razonamos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72 LHL tiene por objeto regular el tipo de gravamen del IBI, estableciendo los tipos mínimos y máximos para inmuebles urbanos y rústicos (apartado 1); la horquilla de tipos para los bienes inmuebles de características especiales (apartado 2); y los puntos porcentuales de incremento que los ayuntamientos pueden aplicar a los tipos máximos, según las características del municipio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4 establece dos medidas: en sus párrafos primero y segundo prevé que los ayuntamientos podrán establecer para los bienes inmuebles urbanos, excluidos los de uso residencial, tipos diferenciados atendiendo a los usos establecidos en la normativa catastral; y los párrafos tercero, cuarto y quinto regulan un recargo para inmuebles de uso residencial que se encuentren desocupados con carácter permanente. Este recargo ha sido modificado recientemente por el Real Decreto-ley 21/2018, de 14 de diciembre, de medidas urgentes en materia de vivienda y alquiler (artículo cuarto), cuyo propósito principal ha sido concretar cómo se determinarán los inmuebles afectados por el mismo, quedando regulado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inmuebles de uso residencial que se encuentren desocupados con carácter permanente, los ayuntamientos podrán exigir un recargo de hasta el 50 por ciento de la cuota líquida del impuesto. Dentro de este límite, los ayuntamientos podrán determinar mediante ordenanza fiscal un único recargo o varios en función de la duración del período de desocupación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recargo, que se exigirá a los sujetos pasivos de este tributo, se devengará el 31 de diciembre y se liquidará anualmente por los ayuntamientos, una vez constatada la desocupación del inmueble en tal fecha, juntamente con el acto administrativo por el que esta se declare.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tendrá la consideración de inmueble desocupado con carácter permanente aquel que permanezca desocupado de acuerdo con lo que se establezca en la correspondiente normativa sectorial de vivienda, autonómica o estatal, con rango de ley, y conforme a los requisitos, medios de prueba y procedimiento que establezca la ordenanza fiscal. En todo caso, la declaración municipal como inmueble desocupado con carácter permanente exigirá la previa audiencia del sujeto pasivo y la acreditación por el Ayuntamiento de los indicios de desocupación, a regular en dicha ordenanza, dentro de los cuales podrán figurar los relativos a los datos del padrón municipal, así como los consumos de servicios de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del artículo 72 LHL regula la posibilidad de aplicar tipos reducidos en los municipios en los que entren en vigor nuevos valores catastrales (apartado 5), el momento en que los ayuntamientos deben aprobar los nuevos tipos de gravamen (apartado 6) y los tipos aplicables en caso de alteración de términos municipales (apartado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 anterior pone de manifiesto que el recargo en cuestión se integra dentro de la regulación del tipo de gravamen del impuesto local. En concreto, el artículo 72.4 LHL prevé, por un lado, la aplicación de tipos diferenciados según los distintos usos establecidos en la normativa catastral para las construcciones (comercial, oficinas, almacenes, industrial, turístico, etc.); y, por otro, la posibilidad de que los ayuntamientos que así lo decidan apliquen un recargo a los “inmuebles de uso residencial que se encuentren desocupados con carácter permanente”. El preámbulo de la Ley 51/2002, de 27 de diciembre (apartado III), que lo introdujo, incardina este recargo dentro de la regulación de los tipos de gravamen del IBI, de suerte que se asemeja a un tipo incrementado que la ley permite establecer a los ayuntamientos. Esto significa que el legislador estatal no ha concebido el recargo como una figura independiente del IBI, sino como uno de los factores relevantes para su cuantificación, lo que nos lleva a descartar que pueda considerarse como un hecho imponible autónomo a efectos de la prohibición del artículo 6.3 LOFCA, que —recordemos— veda a los tributos propios de las Comunidades Autónomas “recaer sobre hechos imponibles gravados por los tributos locales” y no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recargo previsto en el artículo 72.4 LHL es tan solo un elemento más de cuantificación del IBI, inserto en la normativa de este tributo, en concreto, en el artículo dedicado al tipo de gravamen. Por consiguiente, depende del resto de la regulación del impuesto en la que se integra, sin que pueda considerarse como un tributo autónomo a los efectos de la prohibición de duplicidad del artículo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impide reconocer a este recargo una finalidad extrafiscal, como expresa el preámbulo de la Ley 51/2002, que lo creó “para facilitar el acceso de todos los ciudadanos al disfrute de una vivienda digna y adecuada” (apartado III). Ahora bien, ya hemos advertido que no es la única norma del IBI que sirve a fines extrafiscales, existiendo otras como, a título de ejemplo, la bonificación que el artículo 74.5 LHL permite establecer a los ayuntamientos para “los bienes inmuebles en los que se hayan instalado sistemas para el aprovechamiento térmico o eléctrico de la energía proveniente del sol”.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venimos insistiendo en que los tributos predominantemente fiscales contienen a menudo elementos que sirven a otros fines, pues no hay tributos que respondan exclusivamente a una sola finalidad, y un tributo predominantemente fiscal no cambia de naturaleza por “introducir en sus elementos coyunturales o accesorios, como son, por ejemplo, los beneficios fiscales, ciertas finalidades de estímulo o incentivo a determinadas conductas” [STC 122/2012, de 5 de junio, FJ 4)]. Este razonamiento se extiende sin dificultad a un recargo como el que nos ocupa, que no es sino un incremento del tipo de gravamen debido a la desocupación de la vivienda, como una circunstancia más de las que el legislador ha decidido tomar en cuenta para la cuantificación del IBI. Ahora bien, como señalamos en la letra f) del fundamento anterior, los impuestos comparados no tienen la misma finalidad, siendo fundamentalmente extrafiscal en el tributo autonómico, concretamente incentivar la puesta en alquiler de viviendas desocupadas en poder de personas jurídicas (aunque lógicamente también sirva a la consecución de unos ingresos con los que financiar el gasto público), mientras que el tributo local persigue un fin principalmente fiscal (sin perjuicio de que para la modulación de la carga tributaria se haya asumido algún criterio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carácter accesorio del recargo se confirma por el hecho de que, pese a haberse introducido por la Ley 51/2002, de 27 de diciembre, no ha sido aplicado hasta la fecha, al no haberse desarrollado por el Estado el concepto de “inmuebles de uso residencial que se encuentren desocupados con carácter permanente” como exigía el artículo 72.4, párrafo tercero, LHL antes de su reciente modificación por el Real Decreto-ley 21/2018, de 14 de diciembre. La Abogada del Estado aducía al respecto que “si la propia ley estatal se remite a un desarrollo reglamentario estatal, el desarrollo del mismo por una ley autonómica incurre en una clara extralimitación”.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Tribunal no cabe interpretar que al definir el concepto de vivienda vacía en los artículos 5 a 8 de la Ley 14/2015, de 21 de julio el legislador autonómico pretendiera sustituir al reglamento estatal exigido por el artículo 72.4 LHL antes de su modificación por el Real Decreto-ley 21/2018. Y con mayor motivo cabe descartar la extralimitación competencial a la vista de que la nueva redacción ya no reserva al Estado la definición de dicho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indudable que el legislador autonómico no desconoce la existencia del recargo previsto en el artículo 72.4 LHL, cuando afirma en la disposición adicional primera de la Ley del impuesto sobre las viviendas vacías que “[a] partir de la fecha en la que el Estado haya realizado el desarrollo reglamentario al que se refiere el artículo 72.4 del texto refundido de la Ley de haciendas locales, aprobado por el Real Decreto legislativo 2/2004, de 5 de marzo, y los ayuntamientos puedan establecer el recargo sobre el impuesto sobre bienes inmuebles, la Generalitat debe adoptar las medidas compensatorias o de coordinación pertinentes a favor de los ayuntamientos que efectivamente hayan aprobado dicho recargo en ordenanza municipal”, detallando el apartado 2 de dicha disposición los criterios a los que deben sujetarse las citadas medidas. Esta previsión de medidas compensatorias o de coordinación vinculada al establecimiento efectivo del recargo deberá interpretarse a la luz de la nueva redacción dada al recargo por el Real Decreto-ley 21/2018, tras la que no hace falta esperar a un desarrollo reglamentario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interpreta la cláusula de coordinación trascrita como un reconocimiento por el legislador autonómico de que se vulnera la prohibición de duplicidad de hechos imponibles del artículo 6.3 LOFCA. Sin embargo, su correcto entendimiento nos lleva a vincularla con la carga, que dicho precepto impone a las Comunidades Autónomas que ejerzan su competencia de establecer tributos sobre las materias reservadas a las corporaciones locales, de establecer “las medidas de compensación o coordinación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disposición adicional primera de la Ley del Parlamento de Cataluña 14/2015, de 21 de julio parte de que, efectivamente, el impuesto sobre las viviendas vacías recae sobre la misma “materia” que el IBI (incluido el recargo del artículo 72.4 LHL), pues grava inmuebles que también están sujetos al impuesto local, pero ambos tienen un hecho imponible distinto, según hemos concluido en el fundamento jurídico quinto, en vista de lo cual la ley autonómica prevé una medida de coordinación, conforme le exige el artículo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 base en lo razonado, debemos concluir que el impuesto sobre las viviendas vacías tampoco vulnera lo dispuesto en el artículo 6.3 LOFCA en relación con el recargo para inmuebles residenciales desocupados con carácter permanente previsto en el artículo 72.4 LHL.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