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57</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6 de mayo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1373-2018, promovido por la Administración General del Estado, contra la sentencia de la Sección Tercera de la Sala de lo Contencioso-Administrativo del Tribunal Supremo de 7 de diciembre de 2017, recaída en el recurso de casación núm. 122-2016, y el auto de 29 de enero de 2018, que desestimó el incidente de nulidad de actuaciones promovido frente a la anterior. Han intervenido la entidad Asociación de Empresas Eléctricas (ASEME), representada por la procuradora de los tribunales doña Cecilia Díaz-Caneja Rodríguez y defendida por la letrada doña Irene Bartol Mir, la entidad Iberdrola S.A., representada por el procurador de los tribunales don José Luis Martín Jaurebeitia y defendida por el letrado don José Giménez Cervantes, y el ministerio fiscal.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14 de marzo de 2018, el abogado del Estado, en representación de la Administración General del Estado, interpuso recurso de amparo contra las resoluciones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este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6 de mayo de 2014, la entidad Asociación de Empresas Eléctricas (ASEME), interpuso recurso contencioso-administrativo contra la Orden IET/350/2014, de 7 marzo, por la que se fijan los porcentajes de reparto de las cantidades a financiar relativas al bono social correspondientes a 2014, la cual tiene como base normativa el art 45.4 de la Ley 24/2013, de 26 diciembre, del sector eléctrico (LSE).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5 de septiembre de 2015 ASEME presentó la demanda del recurso contencioso-administrativo, solicitando (i) que se declarase la ilegalidad y consiguiente inaplicación de la Orden IET/350/2014, de 7 marzo, y del art 45.4 de la LSE, por vulneración de lo dispuesto en el art 3 de la Directiva 2009/72 del Parlamento Europeo y del Consejo, de 13 de julio de 2009, sobre normas comunes para el mercado interior de la electricidad, por considerar que el mecanismo de financiación del bono social que se establece por las normas cuya inaplicabilidad se solicita es discriminatorio y no garantiza a las empresas eléctricas de la Unión Europea el acceso en igualdad de condiciones a los consumidores nacionales; ii) se declarase la ilegalidad y consiguiente anulación de la Orden IET/350/2014, de 7 marzo y del art 45.4 LSE 24/2013, por vulneración de los dispuesto en el art 9.3 y 14 CE, en la medida que el mecanismo de financiación del bono social que establecen esas normas resulta discriminatorio y por ello arbitrario; (iii) se declarase la ilegalidad y consiguiente anulación de la Orden IET/350/2014, de 7 marzo y del art 45.4 LSE 24/2013, por vulneración de los arts. 39 y 41 CE, al no configurarse el bono social como un coste a cargo de los presupuestos generales, siendo una ayuda social que debe recaer en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Del citado recurso contencioso-administrativo, registrado con el núm. 181-2014, conoció la Sección Cuarta de la Sala de lo Contencioso-Administrativo de la Audiencia Nacional que, tras la tramitación del procedimiento, dictó sentencia el 2 de diciembre de 2015 desestimando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sentencia dictada por la Sala de lo Contencioso-Administrativo de la Audiencia Nacional, interpuso ASEME recurso de casación, del que, con el núm. 122-2016, conoció la Sección Tercera de la Sala de lo Contencioso-Administrativo del Tribunal Supremo que dictó sentencia el 7 de diciembre de 2017, estimando el recurso de casación y anulando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sentencia, la Sección Tercera de la Sala de lo Contencioso Administrativo del Tribunal Supremo estimó el recurso contencioso-administrativo interpuesto por ASEME y estableció el derecho de la recurrente a ser indemnizada por las cantidades abonadas en concepto de bono social en aplicación de la Orden IET/350/2014, de 7 marzo, que fue dictada en desarrollo del art 45.4 LSE, debiendo serle reintegradas todas las cantidades abonadas en ese concepto y correspondientes a 2014, con los intereses legales desde la fecha del pago hasta su reintegro.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se remite a las sentencias de la misma Sala de 24 de octubre de 2016 (recursos contencioso-administrativos núm. 960-2014 y 961-2014), 25 de octubre de 2016 (recurso núm. 16-2015) y 2 de noviembre de 2016 (recurso núm. 11-2015), en las que se declara inaplicable el régimen de financiación del bono social establecido en el artículo 45.4 de la Ley 24/2013, de 26 de diciembre, por resultar incompatible con la Directiva 2009/72/CE, del Parlamento Europeo y del Consejo, de 13 de julio de 2009, y se declara también inaplicables y nulos los artículos 2 y 3 del Real Decreto 968/2014, de 21 de noviembre, que desarrollan lo dispuesto en el citado artículo 45.4 de la Ley 24/2013, de 26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Tomando como muestra las resoluciones recaídas en el recurso contencioso-administrativo núm. 961-2014 recuerda lo que señala el fundamento jurídico 7 de la sentencia de 24 de octubre de 2016: “La Ley 24/2013 no contiene una relación nominal de las empresas o grupos de empresas que deben asumir la financiación del bono social. Fue la Orden IET/350/2014, de 7 de marzo, por la que se fijan los porcentajes de reparto de las cantidades a financiar relativas al bono social correspondientes a 2014 -Orden dictada en aplicación de lo previsto en el artículo 45.4 de la Ley 24/2013 , pero antes de que se hubiese producido el desarrollo reglamentario de ésta mediante el Real Decreto 968/2014- la que vino a identificar a las entidades concernidas y a fijar los porcentajes de reparto de las cantidades a financiar relativas al bono social correspondiente a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impugnada también se refiere al auto de la Sala de lo contencioso-administrativo del Tribunal Supremo de 18 de septiembre de 2017 (recurso núm. 961-2014), que señala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así señalado en la propia sentencia que la Orden IET/350/2014 fue dictada en aplicación de lo previsto en el artículo 45.4 de la Ley 24/2013, y como sabemos, en el apartado 2 de la parte dispositiva de la sentencia se acuerda ‘2. Declarar inaplicable el régimen de financiación del bono social establecido en el artículo 45.4 de la Ley 24/2013, de 26 de diciembre, por resultar incompatible con la Directiva 2009/72/CE...’. Por tanto, bien podría decirse que la Orden IET/350/2014 tiene el mismo vicio de origen que el Real Decreto 968/2014, de 21 de noviembre, por cuanto ambos traen causa de un precepto legal que ha sido declarado inaplicable por resultar incompatible con la norma comunitaria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Sucede, sin embargo, que la sentencia no declara la nulidad de la Orden IET/350/2014 -no era objeto de impugnación en el proceso ni se formulaba pretensión respecto de ella- y en los apartados 3/ y 4/ del fallo se declaran inaplicables y nulos los artículos 2 y 3 del Real Decreto 968/2014, de 21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pronunciamientos trascritos la sentencia del Tribunal Supremo examinada extrae la siguiente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“Vemos así que el vicio de origen que aqueja a la Orden IET/350/2014 aparece ya señalado de forma anticipada en los autos dictados en ejecución de las sentencias que declaran inaplicable el régimen de financiación del bono social establecido en el artículo 45.4 de la Ley 24/2013 e inaplicables y nulos los artículos 2 y 3 del Real Decreto 968/2014. Y si tales autos no declararon la nulidad de la Orden IET/350/2014 fue, sencillamente, porque la Orden no había sido objeto de impugnación en el proceso ni se había formulado pretensión respecto de ella. Además, en los propios autos quedaba señalado que no debíamos interferir entonces en lo que era objeto de otros litigios, pues la Orden IET/350/2014 había sido objeto de impugnación en diferentes recursos seguidos ante la Sala de lo Contencioso-Administrativo de la Audiencia Nacional y contra las sentencias recaídas en tales procesos se había interpuesto recursos de casación que se encontraban en aquel momento pendientes de resolución (recurso de casación 3127/2015, 3332/2015, 3374/2015, 3864/2015, 3875/2015, 3885/2015, 122/2016, 149/2016 y 714/2016)”.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esta sentencia la abogacía del Estado promovió incidente de nulidad de actuaciones en el que se alegaba vulneración del derecho a la tutela judicial efectiva y al proceso con todas las garantías, en cuanto al no planteamiento de cuestión prejudicial ante el Tribunal de Justicia de la Unión Europea y por no haberse planteado cuestión de inconstitucionalidad, e incongruencia omisiva. La Sección Tercera de la Sala de lo Contencioso del Tribunal Supremo desestimó dicho incidente de nulidad por auto de fecha 29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falta de planteamiento de la cuestión prejudicial, el órgano judicial rechaza que se hayan producido las vulneraciones objeto de denuncia, toda vez que en las sentencias antes citadas de 24 de octubre de 2016 (dos sentencias con esa fecha dictadas en los recursos 960-2014 y 961-2014), 25 de octubre de 2016 (recurso 16-2015) y 2 de noviembre de 2016 (recurso 11-2015), se explicitan las causas por las que no resulta precisa su formulación. En concreto, refiere que “no reiteraremos aquí las razones que dimos entonces, que la Abogacía del Estado conoce, sin duda, pues la Administración fue parte en todos aquellos procesos. Lo que interesa destacar ahora es que si el planteamiento de cuestión prejudicial ante el Tribunal de Justicia de la Unión Europea se consideró innecesario entonces, con mayor razón resultará innecesario el planteamiento de la cuestión prejudicial para declarar la nulidad de una Orden que fue dictada en desarrollo del precepto legal que entonces se declaró inaplicable por ser contrario al ordenamiento comunitario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razones análogas a las señaladas también se descarta la queja por no haberse planteado cuestión de inconstitucionalidad: “Una vez que por sentencia firme había sido declarado inaplicable el artículo 45.4 de la Ley 24/2013, por contravenir el Derecho de la Unión Europea, la constatación de que la Orden IET/350/2014 había sido dictada precisamente en desarrollo de aquel precepto legal llevaba directamente a la conclusión de que dicha Orden debía ser declarada nula, sin que para hacer tal pronunciamiento resultase necesario el previo planteamiento de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desecha la queja de haber incurrido en incongruencia omisiva, pues “si el motivo de nulidad se ciñe a la falta de examen en la sentencia de los argumentos esgrimidos por la Abogacía del Estado en su escrito de oposición del recurso de casación, lo cierto es que la razón dada en la sentencia para declarar nula la Orden IET/350/2014 —esto es, la existencia de pronunciamientos judiciales firmes que declaran inaplicable el precepto legal a que dicha Orden sirve de desarrollo— hacía innecesario el examen de aquellos argumentos de oposición, como innecesario se consideró también el examen de los motivos de casación formulados por la entidad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Administración General del Estado denuncia la vulneración del derecho a la tutela judicial efectiva (art. 24.1 CE) y del derecho a un proceso con todas las garantías (art. 24.2 CE), por cuanto el órgano judicial no planteó cuestión prejudicial ante el Tribunal de Justicia de la Unión Europea, pese haber declarado inaplicable el art. 45.4 LSE por considerarlo incompatible con el art. 3.2 de la Directiva 2009/72/CE.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destacar los aspectos más relevantes del procedimiento judicial, la parte recurrente justifica la especial trascendencia constitucional del recurso por considerar que el Tribunal Constitucional carece de doctrina consolidada respecto del criterio de identidad o evidencia al que los órganos jurisdiccionales deben sujetarse para poder, en aplicación de la jurisprudencia del Tribunal de Justicia de la Unión Europea, exonerarse de plantear cuestión prejudicial, con base en la existencia del “acto claro” o “acto aclarado”, por la similitud que el supuesto presenta con un caso ya resuelto por el Tribunal de Justicia de la Unión Europea, y poder apreciar directamente que una disposición interna con rango de ley es contraria al Derecho europeo. Esa temática ostenta una clara relevancia pues, conforme a la STC 232/2015, dejar de aplicar una ley interna sin previamente plantear cuestión prejudicial ante el Tribunal de Justicia de la Unión Europea, por entender que dicha ley es contraria al Derecho de la Unión Europea, vulnera el derecho a un proceso con todas las garantías, si existe una duda objetiva, clara y terminante sobre esa supuesta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aduce que no corresponde al Tribunal Constitucional controlar la adecuación de la actividad de los poderes públicos nacionales al Derecho de la Unión Europea, pero sí determinar si las resoluciones judiciales impugnadas son contrarias al derecho a la tutela judicial efectiva reconocido en el art. 24 CE. Y, desde esta perspectiva lo verdaderamente primordial consiste en delimitar cuál es el alcance de las facultades que esos órganos ostentan y la amplitud del margen de interpretación del que disponen para inaplicar directamente una norma interna con rango de ley, por considerarla contraria al Derecho europeo, sin plantear previamente cuestión prejudicial ante el Tribunal de Justicia de la Unión Europea. Según el demandante, lo novedoso del caso reside en que, por considerar aplicable al presente supuesto la doctrina del “acto aclarado”, la decisión del órgano judicial ha supuesto el apartamiento de una norma con rango de ley de aplicación al caso, de manera que el citado órgano se ha convertido en un “legislador negativo”, cuyas facultades de valoración resultan sumamente trascendentes desde la perspectiva del derecho garantizado por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la demanda se refiere exclusivamente a las sentencias del Tribunal Supremo a las que se remite la impugnada. En primer lugar, sintetiza las razones dadas por el órgano judicial para considerar inaplicable el modelo de financiación del bono social que prevé el art. 45.4 LSE; a saber, que es incompatible con el régimen jurídico establecido en el art. 3.2 de la Directiva 2009/72/CE, porque este precepto exige que las obligaciones de servicio público se definan claramente, sean transparentes, no discriminatorias y controlables y garanticen el acceso en igualdad de condiciones a los consumidores nacionales y, a su vez, porque el precepto inaplicado vulnera el principio de proporcionalidad, toda vez que la carga de la financiación se impone solamente a determinados agentes del sector eléctrico, de manera indefinida y sin ninguna compensación. La demanda sostiene que la argumentación que ofrece la sentencia impugnada para considerar innecesario el planteamiento de la referida cuestión prejudicial es meramente apodíctica y, por tanto, incurre en manifiesta falta de motivación que lesiona el derecho a la tutela judicial efectiva; y ello, porque el órgano judicial considera que el contenido de la sentencia del Tribunal de Justicia de la Unión Europea de 7 de septiembre de 2016 (asunto Anode), reproducido literalmente en alguno de sus párrafos, es trasladable al caso ahora examinado, pero no dice por qué razón lo es ni expone cuáles son esos criterios que resultan aplicables al presente caso, por lo que no se acierta a ver cuál es la semejanza con los considerandos de la sentencia del Tribunal de Justicia de la Unión Europea traída como parámetro de comparación.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afirma que la sentencia recurrida en esta sede aplica la doctrina del “acto aclarado” para justificar la falta de planteamiento de la cuestión prejudicial, pero estima que el criterio seguido es erróneo, pues no concurren las características o circunstancias que, conforme a la jurisprudencia consolidada del Tribunal de Justicia de la Unión Europea, determinan que resulte innecesaria la formulación de la cuestión prejudicial, pues ni puede imponerse con tal evidencia la similitud entre asuntos, de manera que no quepa albergar duda razonable sobre la solución de la cuestión, ni tampoco la cuestión suscitada es materialmente idéntica a otra anterior que hubiera sido objeto de una decisión prejudicial. Para la parte recurrente el Tribunal Supremo sustenta la aplicación al caso de la doctrina del “acto aclarado” en las sentencias recaídas en los asuntos Federutility y Anode que constituyen supuestos análogos que, conforme a la “doctrina Cilfit”, justifican la inaplicación del art. 45.4 LSE. Sin embargo, respecto de la sentencia del Tribunal de Justicia de la Unión Europea de 20 de abril de 2010 —asunto Federutility—, indica que la discriminación a la que se refieren sus parágrafos 45 y 46 nada tiene que ver con el trato peyorativo apuntado por los recurrentes en el caso que nos ocupa; en aquel asunto se planteó la posible discriminación que podría surgir por indiferenciación (que el tribunal remitente debe verificar), al imponer la normativa cuestionada la misma obligación de servicio público (ofrecer el precio de referencia) con independencia de que los suministradores sean o no mayoristas, lo que podría perjudicar a los suministradores de gas al detalle que no son simultáneamente mayoristas y beneficiar a los suministradores que sí reúnen tal condición, ya que estos últimos podrían verse inclinados a abusar de la ventaja que les proporciona la integración vertical, desplazando los menores ingresos del precio de referencia a los suministradores no mayoristas en las negociaciones entre unos y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administración esta cuestión no puede considerarse materialmente idéntica a la que se suscita en el presente caso, pues la supuesta discriminación que aprecia el tribunal a quo no trae causa de la indiferenciación sino de la diferencia de trato que, en perjuicio de determinadas empresas, establece la normativa inaplicada, al hacer recaer la financiación del bono social eléctrico sobre las matrices de determinados grupos empresariales que desarrollan simultáneamente las actividades de generación, distribución y comercialización. No hay, pues, identidad en el tipo de desigualdad ni tampoco en las situaciones y sujetos comparados. En apoyo de su tesis, la demandante cita una sentencia del Pleno de la Sala de lo Contencioso-Administrativo del Tribunal Supremo, concretamente la de fecha de 18 de noviembre de 2013, recaída en el recurso núm. 843-2013, en la que, a propósito del déficit de tarifa, se declaró la inhabilidad sustancial de la sentencia Federutility para ser invocada como supuesto idéntico en relación con la asunción de la financiación de ciertos costes del sector eléctrico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respecto a la segunda de las sentencias traídas a colación por el Tribunal Supremo, esto es, la sentencia del Tribunal de Justicia de la Unión Europea de 7 de septiembre de 2016 —asunto Anode— su doctrina no la considera aplicable al presente caso. Y ello porque, en aquel supuesto, los fines alegados para justificar la medida eran los de garantizar “la seguridad del suministro y la cohesión territorial”, que son distintos de los que se pretenden alcanzar mediante el bono social español, ya que éstos se refieren a la protección de los consumidores vulnerables, aspecto este que es completamente ajeno a la determinación de los componentes del precio del gas en aquel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lo expuesto, para la demandante tampoco cabe entender que las consideraciones que se formulan en el parágrafo 71 de la sentencia recaída en el asunto Anode, acerca de la proscripción de discriminación entre compañías de gas, de manera que “el sistema de designación de las empresas encargadas de las obligaciones de servicio público no puede excluir a priori a ninguna de las empresas que operan en el sector de la distribución de gas”, sean extensibles al caso ahora enjuiciado. La obligación de financiar el bono social no se aplica a unos operadores determinados a priori, de forma nominativa y con exclusión de otros, sino que tal obligación se establece cada año, con eficacia temporal limitada y en función de circunstancias objetivamente determinadas, de manera que no hay una predeterminación apriorística del elenco de obligados.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la demanda invoca algunos de los argumentos que figuran en el voto particular formulado por el magistrado disidente a la sentencia de 24 de octubre de 2016, consistentes, en síntesis, en que concurren diferencias sustanciales entre el caso resuelto por el Tribunal de Justicia de la Unión Europea y los presupuestos fácticos y jurídicos examinados en el recurso contencioso-administrativo tramitado por el Tribunal Supremo, por lo que no resulta aplicable la doctrina del “acto aclarado” a fin de eludir el planteamiento de la cuestión prejudicial en el presente caso y se aduce en la demanda que el dictamen de la comisión permanente del Consejo de Estado, de fecha 6 de noviembre de 2014, emitido respecto del inicial proyecto de orden, por la que se desarrollaba la metodología para la fijación de los porcentajes de reparto de las cantidades a financiar, relativas al bono social (que luego se convirtió, precisamente a resultas de las consideraciones sobre su rango realizadas en el citado dictamen, en el Real Decreto 968/2014, de 21 de noviembre), se pronunció en términos contundentes sobre la conformidad de la norma reglamentaria reguladora del bono social con el ordenamiento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para la administración recurrente se ha vulnerado el art. 24 CE porque: i) al resolver el Tribunal Supremo ha desconocido el sistema de fuentes, no aplicando una norma con rango de ley indebidamente, pues previamente debió plantear cuestión prejudicial ante el Tribunal de Justicia de la Unión Europea; ii) incurre en un déficit de motivación, ya que no explica suficientemente las razones por las que considera que concurre la circunstancia del “acto aclarado”, como razón que le excusa de aplicar la norma española sin previamente plantear cuestión prejudicial ante el Tribunal de Justicia y iii) el juez nacional ha resuelto el proceso inmiscuyéndose en un ámbito o competencia jurisdiccional ajeno, dando lugar a que la controversia sea decidida por un juez o tribunal distinto del querido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16 de julio de 2018, la Sección Cuarta de este Tribunal acordó la admisión a trámite de la demanda de amparo presentada, “apreciando que concurre en el mismo una especial trascendencia constitucional (art. 50.1 LOTC) porque el recurso plantea un problema o afecta a una faceta de un derecho fundamental sobre el que no hay doctrina de este Tribunal [STC 155/2009, FJ 2 a)]”. En aplicación de lo dispuesto en el art. 51 de la Ley Orgánica del Tribunal Constitucional (LOTC), se acordó dirigir atenta comunicación a la Sección Tercera de la Sala de lo Contencioso-Administrativo del Tribunal Supremo a fin de que, en plazo que no excediera de diez días, remitiera certificación o fotocopia adverada de las actuaciones correspondientes al recurso de casación núm. 122-2016. Asimismo se acordó dirigir atenta comunicación a la Sección Cuarta de la Sala de lo Contencioso-Administrativo de la Audiencia Nacional, para que en el mismo plazo remitiese certificación o fotocopia adverada de las actuaciones correspondientes al recurso contencioso-administrativo núm. 181-2014 y procediese a emplazar a quienes hubieran sido parte en el procedimiento, a excepción de la parte recurrente en amparo, para que en el plazo de diez días pudiesen comparecer, si lo desean,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requeridas de los órganos judiciales, por diligencia de ordenación de la secretaría de justicia de la Sección Cuarta de este Tribunal de fecha 24 de septiembre de 2018, se acordó tener por personados y partes en el procedimiento al procurador don José Luis Martín Jaureguibeitia, en nombre y representación de Iberdrola, S.A., y a la procuradora doña Cecilia Díaz-Caneja Rodríguez, en nombre y representación de Asociación de Empresas Eléctricas (ASEME), ordenándose entender con ella las sucesivas diligencias, y, con arreglo al art. 52 LOTC, conceder a las partes personadas y al ministerio fiscal el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22 de octubre de 2018 el ministerio fiscal presentó su escrito de alegaciones en el que termina solicitando que se estime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relatar los antecedentes fácticos y resumir las alegaciones formuladas por la parte recurrente, argumenta el fiscal ante el Tribunal Constitucional lo que se sintetiza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 Administración General del Estado ostenta legitimación, pues en el recurso de amparo se alega la vulneración de los derechos a la tutela judicial efectiva sin indefensión y al proceso debido, desde la perspectiva de las garantías procesales inherentes a los mismos que le son reconocidas a la administración como parte en los procesos judiciales; esto es “actuando al mismo tiempo un interés general que es el de la integridad del ordenamiento jurídico y de las normas legales que lo componen, dictadas por el Parlamento y que representan la voluntad popular ejercida a través del poder legislativo que la representa” (STC 58/2004,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ministerio fiscal explica el mecanismo del bono social que opera como una medida de protección de los consumidores de energía que son vulnerables, por cumplir determinadas condiciones sociales, de consumo y poder adquisitivo. Ese bono responde a las previsiones de la Directiva 2009/72/CE, en cuya virtud “los Estados miembros adoptarán las medidas oportunas para proteger a los clientes finales y, en particular, garantizarán una protección adecuada de los clientes vulnerables”. Seguidamente, trae a colación los antecedentes legislativos del bono social, comenzando por el Real Decreto-ley 6/2009, de 30 de abril, por el que se adoptaron determinadas medidas en el sector energético y se aprobó el bono social, que, en su preámbulo reflejaba el objeto al que respondía esa medida, y que en el art. 2.5 y la disposición transitoria segunda establecían el régimen de financiación del bono social. Esas disposiciones, recuerda el ministerio público, fueron enjuiciadas en la sentencia de la Sala Tercera del Tribunal Supremo de 7 de febrero de 2012, que consideró que ese régimen de financiación no cumplía las exigencias de transparencia, no discriminación, control y proporcionalidad exigidas por las normas de la Unión Europea; en concreto, por la Directiva 2003/54/CE. Por ello, el Tribunal Supremo resolvió la inaplicación de las disposiciones pertinentes del Real Decreto-ley citado, así como los de la Orden ITC 1723/2009, de desarrollo de aquel, sin plantear cuestión prejudicial ante el Tribunal de Justicia de la Unión Europea, por considerar que el sentido de la Directiva ya había sido aclarado en la sentencia de dicho tribunal europeo de 20 de abril de 2010, dictada en el asunto Federutility. Ello condujo a la Sala Tercera a declarar la inaplicabilidad del régimen de financiación del bono social establecido en las normas españolas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posterior del bono social se prevé en el artículo 45.4 de la Ley 24/2013, de 26 de diciembre, del sector eléctrico, más tarde modificada por el Real Decreto-ley 7/2016. Afirma el ministerio fiscal que esta disposición se corresponde con las previsiones del Real Decreto-ley 6/2009, pues establece que “será asumido por las matrices de los grupos de sociedades o, en su caso, sociedades que desarrollen simultáneamente las actividades de producción, distribución y comercialización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Más adelante, advierte de que la sentencia del Tribunal Supremo considera que los criterios reflejados en la exposición de motivos del Real Decreto-ley 9/2013 no justifican debidamente el sistema de financiación del bono social que, en síntesis, corre a cargo de las sociedades que realizan simultáneamente las actividades de generación, distribución y comercialización en el sector eléctrico. Tampoco, según la referida sentencia, aparece debidamente justificado el carácter no discriminatorio y proporcional de ese nuevo régimen de financiación, atendido el criterio que sostuvo la Abogacía del Estado en la contestación a la demanda, que se centraba en la especial posición que tienen, dentro del sector eléctrico, las empresas que constituyen un grupo integrado verticalmente y realizan, simultáneamente, las actividades ya indicadas, lo que les faculta para atemperar la incidencia de las obligaciones de servicio público puestas a su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doctrina constitucional, la correcta aplicación del Derecho de la Unión Europea es una cuestión infraconstitucional que corresponde a la jurisdicción ordinaria, a quien también compete decidir sobre el planteamiento de las cuestiones prejudiciales ante el Tribunal de Justicia de la Unión Europea, de acuerdo a lo preceptuado en el art. 267 Tratado de funcionamiento de la Unión Europea. Ahora bien, lo expuesto no significa que las decisiones judiciales sobre ese particular estén exentas de cualquier control de constitucionalidad pues, por el contrario, están sujetas al canon de control que es propio de cualquier resolución judicial. No obstante, el ministerio fiscal advierte del especial control de constitucionalidad que procede efectuar respecto de aquellas resoluciones judiciales que no aplican una norma legal interna, por su apreciada contrariedad con el Derecho de la Unión, sin plantear cuestión prejudicial, ni tampoco cuestión de inconstitucionalidad. Afirma que en estos casos —y no en los que el órgano judicial aplica la norma interna sin plantear cuestión prejudicial, por estimarla conforme con el Derecho de la Unión Europea (STC 27/2013)— se pueden lesionar los derechos a la tutela judicial efectiva y al proceso debido. En apoyo de lo expuesto trae a colación la STC 232/2015, de 5 de noviembre, FJ 5, para poner de relieve que la inaplicación de una ley interna por entenderla incompatible con el Derecho de la Unión Europea, sin previamente formular cuestión prejudicial ante el Tribunal de Justicia de la Unión Europea, resulta contraria al derecho a un proceso con todas las garantías (art. 24.2 CE), siempre que exista “una duda objetiva, clara y terminante sobre esa supuesta contradicción (STC 58/2004, FFJJ 9 a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ha puesto de manifiesto que, en orden a enjuiciar desde la perspectiva del art 24. 1 CE, el carácter fundado de una resolución judicial que inaplica una norma legal vigente por su oposición al Derecho europeo, sin suscitar cuestión prejudicial, habrá que estar a lo establecido por la propia doctrina del Tribunal de Justicia de la Unión Europea acerca de los presupuestos para la formulación de la cuestión prejudicial, correspondiendo a los órganos judiciales apreciar la concurrencia de tales presupuestos (STC 78/2010, de 20 de octubre, FJ 2). En la misma línea el Tribunal Europeo de Derechos Humanos en su sentencia de fecha de 8 de abril de 2014, caso Dhabi contra Italia, también pone de manifiesto, en relación con el derecho al proceso debido reconocido en el art 6.1 del Convenio Europeo para la protección de los derechos humanos y de las libertades fundamentales, que los órganos judiciales nacionales deben justificar, de acuerdo con la doctrina del Tribunal de Justicia de la Unión Europea, los supuestos por los que deciden no plantear cuestión prejudicial y en los casos en que no se plantea la cuestión prejudicial y se inaplica directamente la norma legal nacional, se incide en la integridad del ordenamiento jurídico, al eludir también el control de la cuestión de inconstitucionalidad, sobre la base de la primacía del Derecho de la Unión. Así, en la STC 78/2010, el Tribunal Constitucional entró a enjuiciar, en el caso que examinaba, el carácter fundado de la resolución que había inaplicado la norma legal vigente, sin plantear cuestión prejudicial por estimar que ya existía una decisión prejudicial del Tribunal de Justicia de la Unión Europea sobre la cuestión objeto del proceso, y apreció que esta decisión del órgano judicial no estaba correctamente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Tras sintetizar la doctrina Cilfit sobre los supuestos de dispensa del planteamiento de la cuestión prejudicial, el ministerio fiscal compendia la argumentación judicial dada a favor de omitir la cuestión prejudicial. Sobre ese particular, pone de relieve que, en el fundamento jurídico 8 de las sentencias a las que se remite la recurrida, se afirma que, en la sentencia de 7 de febrero de 2012, el Tribunal Supremo resolvió que no era necesario plantear esa cuestión respecto de la correcta aplicación del art. 3.2 de la Directiva 2003/54/CE, sobre normas comunes para el mercado interior de la electricidad, puesto que ya existía una decisión prejudicial al respecto, concretamente la sentencia del Tribunal de Justicia de la Unión Europea de 20 de abril 2010 recaída en el asunto Federutility, que la referida resolución consideró como “acto aclarado”. En relación con el presente supuesto, el órgano judicial también considera que existen decisiones prejudiciales del Tribunal de Justicia de la Unión Europea en casos análogos; en concreto, la ya citada sentencia del Tribunal de Justicia de 20 de abril de 2010, dictada en al asunto Federutility, y la de 7 de septiembre de 2016, recaída en el asunto Anode. En relación con esta última sentencia, señala que el órgano judicial apreció que las consideraciones que en dicha resolución se formulan respecto de la normativa francesa sobre precios regulados en el suministro del gas, en relación con los requisitos que establece la Directiva 2009/73/CE para las obligaciones de servicio público impuestas a las empresas de gas natural, son trasladables a la regulación de la financiación del bono social que establece el art. 45.4 LSE; y, en base a ello, consideró que dicho precepto es contrario a lo dispuesto en el art. 3.2 de la Directiva 2009/72/CE, pues no cumple las condiciones de transparencia, no discriminación, control y proporcionalidad exigidas por esa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ministerio fiscal comparte el criterio de la administración recurrente acerca de que el Tribunal Supremo no ha justificado realmente que concurra un supuesto de “acto aclarado”, pues se ha limitado a expresar una declaración de voluntad, que es la de estimar que la decisiones del Tribunal de Justicia de la Unión Europea en esas sentencias son plenamente trasladables a la cuestión controvertida sobre la nueva regulación del régimen de financiación del bono social, pero no ofrece ninguna explicación sobre cuáles son los criterios que le permiten considerar que pueden ser aplicables, para resolver la cuestión controvertida, unas decisiones prejudiciales del Tribunal de Justicia de la Unión Europea que se pronuncian sobre la interpretación de las Directivas relativas al mercado del gas —y no sobre las del mercado de la electricidad— y además se refieren a otro tipo de obligaciones de servicio público distintas del bono social. La sentencia del caso Anode versa sobre un supuesto en el que la norma legal controvertida impone a determinadas empresas suministradoras de gas un precio regulado a clientes finales, a fin de garantizar el suministro y la cohesión territorial y por el contrario, en el caso que aquí nos ocupa el supuesto versa sobre una norma que regula el régimen de financiación por parte del sector eléctrico, de una medida destinada a favorecer al consumidor vulnerable.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entiende que no se ha apreciado correctamente la doctrina del “acto aclarado”, pues el objeto de la decisión prejudicial que fue resuelta por el Tribunal de Justicia de la Unión Europea (caso Anode) no puede ser considerado idéntico o análogo al actual; se trata de Directivas distintas, cuya aplicación se proyecta sobre los mercados interiores de dos productos energéticos diferentes (gas y energía); y la norma legal controvertida impone un precio regulado a determinadas suministradoras de gas, a fin de garantizar el suministro y la cohesión social (asunto Anode), mientras que en el proceso de origen del presente recurso de amparo, la cuestión discutida se refiere al régimen de financiación del bono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reitera que el tribunal a quo no ha apreciado correctamente la doctrina del “acto aclarado”, ya que la sentencia en que se basa el tribunal para considerar que puede abstenerse de plantear cuestión prejudicial no puede catalogarse como materialmente idéntica, ni que haya recaído en un asunto análogo, que permita conocer “de manera evidente y sin ninguna duda objetiva razonable cuál es la correcta aplicación de la norma europea en el caso controvertido”. Por tanto, la existencia de dudas razonables sobre la interpretación de la norma comunitaria, en relación con la regulación legal discutida, determina que no proceda considerar que concurra un supuesto de “acto aclarado”. A lo que cabe añadir que los supuestos de dispensa del planteamiento de la cuestión prejudicial deben ser objeto de interpretación estricta, tal y como pone de relieve la sentencia. También incide a favor de esas dudas la existencia de un voto particular en las sentencias dictadas por la Sección Tercera de la Sala de lo Contencioso del Tribunal Supremo en las que se basa la sentencia impugnada en esta sede y el dictamen del Consejo de Estado relativo al proyecto de orden por el que se desarrolla la metodología para la fijación de los porcentajes de reparto de las cantidades a financiar respecto del bono social, que satisface los requisitos impuestos por la normativa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estima que se han vulnerado los derechos fundamentales a la tutela judicial efectiva sin indefensión y al proceso debido (arts. 24. 1 y 2 CE), pues se ha incurrido en un exceso de jurisdicción al pronunciarse la Sala Tercera del Tribunal Supremo sobre la incompatibilidad de la norma legal con el Derecho europeo al margen del proceso debido, vulnerando el sistema de fuentes, al inaplicar directamente la norma legal vigente y eludir indebidamente el mecanismo de control, interesando una sentencia estimatoria del amparo solicitado, que anule las resoluciones impugnadas, con retroacción de actuaciones, al objeto de que por la Sala Tercera del Tribunal Supremo se dicte nueva resolución que sea respetuosa con los derechos fundamentales infringidos.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procuradora de los tribunales doña Cecilia Díaz-Caneja Rodríguez, en nombre y representación de ASEME, presentó sus alegaciones ante este Tribunal el 25 de octubre de 2018, interesando la inadmisión y, subsidiariamente,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delimitar el objeto del recurso y expresar su posición respecto del mismo, alega, en primer lugar, que procede su inadmisión por insuficiente justificación de la especial trascendencia constitucional, requisito indispensable para la admisión de acuerdo con el art. 50 LOTC. A su juicio, la demanda se limita a reiterar la supuesta existencia de la lesión de derechos fundamentales aducida, lo que resulta insuficiente según reiterada doctrina del Tribunal, citando al efecto las SSTC 128/2014, de 21 de julio, y 77/2015, de 27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considera esta parte codemandada que procede la inadmisión del recurso de amparo porque el mismo carece de especial trascendencia constitucional. A su juicio resulta improcedente justificar la especial trascendencia constitucional en la supuesta inexistencia de doctrina consolidada al respecto de los supuestos de exoneración en el planteamiento de cuestiones prejudiciales ante el Tribunal de Justicia de la Unión Europea, ya que este Tribunal se ha pronunciado en numerosas ocasiones sobre esta cuestión, refiriéndose a las SSTC 78/2010, de 20 de octubre; 145/2012, de 2 de julio, y 232/2015, de 5 de noviembre. Finalmente, dentro de este mismo apartado, admitiendo el carácter indeterminado del contenido de la expresión “especial trascendencia constitucional”, argumenta que no concurre ninguno de los supuestos contemplados en la STC 155/2009, de 25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y último lugar, aduce que procede la inadmisión o, subsidiariamente, la desestimación del recurso por inexistencia de las vulneraciones de los derechos fundamentales denunciadas. A su juicio, la sentencia impugnada no incurre en falta de motivación en lo que respecta a la posibilidad de inaplicar la normativa interna sin necesidad de plantear cuestión prejudicial, señalando que la simple discrepancia entre las partes no es justificación suficiente para apreciar la falta de motivación de la sentencia. Tampoco se ha producido vulneración del derecho a la tutela judicial efectiva sin indefensión y al proceso con todas las garantías (apartados 1 y 2 del art. 24 CE), alegando al respecto el precedente de inadmisión del recurso de amparo interpuesto por la Administración General del Estado contra la sentencia del Tribunal Supremo de 7 de febrero de 2012 (recurso contencioso-administrativo núm. 419-2010), sobre un supuesto de hecho que califica de “prácticamente idéntico”. Se refiere después a la doctrina del “acto aclarado” y la innecesaridad de plantear cuestión prejudicial ante el Tribunal de Justicia de la Unión Europea por existir dos sentencias de dicho Tribunal en supuestos materialmente idénticos al resuelto por el Tribunal Supremo y argumenta que las sentencias de contraste del Tribunal de Justicia, sobre la base de las cuales el Tribunal Supremo acuerda inaplicar una ley nacional por contravenir una Directiva europea, fueron dictadas en supuestos sustancialmente idénticos al enjuiciado por el Tribunal Supremo. La vulneración pretendida por el abogado del Estado no es tal desde el momento en que el Tribunal Supremo otorgó plazo a las partes en sede del recurso contencioso-administrativo núm. 960-2014 para que manifestasen lo pertinente al respecto de la sentencia del Tribunal de Justicia de la Unión Europea de fecha 7 de septiembre de 2016 (asunto C-121/15), caso Anode. Finalmente, expone detalladamente la metodología empleada para la financiación del bono social y defiende la identidad material de la misma y la que dio lugar al conflicto resuelto mediante la sentencia del Tribunal de Justicia de 7 de septiembre de 2016 en torno a la posibilidad de imponer obligaciones de servicio público y la protección de los colectivos vulnerables.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26 de octubre de 2018 tuvieron entrada en este Tribunal las alegaciones de Iberdrola, S.A. En primer lugar explica el contexto y los antecedentes relevantes de la controversia judicial, en particular la Directiva 2009/72/CE y las normas nacionales que regulan el bono social. Resume, después, el contenido de la sentencia impugnada y los motivos de amparo expuestos por la administración. Posteriormente, trae a colación la doctrina del Tribunal Constitucional según la cual no cabe cuestionar, con base en el art. 24.1 CE, la decisión del tribunal ordinario de no plantear la cuestión prejudicial, siempre que esa decisión sea el fruto de una exégesis racional de la legalidad ordinaria. No obstante, reconoce que existen dos matizaciones a esa doctrina, como así se señala en la STC 232/2015: cuando el tribunal nacional toma una decisión contraria a la doctrina ya establecida por la Unión Europea, lo que no concurre en el caso que nos ocupa; y en aquellos supuestos en que “dejar de aplicar una ley interna, sin plantear cuestión de inconstitucionalidad, por entender un órgano jurisdiccional que esa ley es contraria al derecho de la Unión Europea, sin plantear tampoco cuestión prejudicial ante el Tribunal de Justicia de la Unión Europea, es contrario al derecho a un proceso con todas las garantías (art. 24.2 CE) si existe una ‘duda objetiva, clara y terminante’ sobre esa supuesta contradicción (STC 58/2004, FFJJ 9 a 14)”. No obstante, tras invocar las SSTC 212/2014, de 18 de diciembre; y 99/2015, de 25 de mayo, afirma que, desde la perspectiva del mencionado art. 24.2 CE, es suficiente con que, al órgano judicial, no se le planteen dudas sobre el alcance del Derecho de la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la codemandada lleva a cabo una exposición sobre la argumentación dada en la STC 58/2004 acerca del alcance y finalidad de la cuestión prejudicial ante el Tribunal de Justicia de la Unión Europea que, según afirma, no consiste en aclarar la aplicación al caso concreto del Derecho de la Unión Europea, sino en concretar cuál es su interpretación y alcance, para, seguidamente, afirmar que el recurso de amparo ha perdido su objeto. Tal aserto trae causa de la entrada en vigor del Real Decreto-ley 7/2016, de 23 de diciembre, que regula el mecanismo de financiación del coste del bono social y otras medidas de protección al consumidor vulnerable de energía eléctrica, norma esta que fue promulgada tras el dictado de la sentencia recurrida en amparo. Según sostiene, en la exposición de motivos de la mencionada norma se contemplan los principios que deben regir la financiación del bono social, con el mismo alcance que se fija en la sentencia dictada por el Tribunal Supremo; y ello porque la selección de las empresas comercializadoras de energía eléctrica para costear el bono social constituye una medida basada en razones objetivas, transparentes y no discriminatorias, que no quiebran el principio de proporcionalidad conforme a la doctrina establecida en esa Sentencia. Siendo así, en el presente recurso no se plantea ningún debate sustantivo sobre lo dicho por el Tribunal Supremo acerca de cuál deba ser la interpretación y aplicación del derecho de la Unión, ni sobre lo que podría haber dicho de forma distinta el Tribunal de Justicia de la Unión Europea, de haberse planteado la cuestión prejudicial. De ahí que la actual controversia sea puramente formal y en cierto sentido bizantina, pues pretende que el Tribunal Supremo plantee una cuestión prejudicial para resolver una cuestión de fondo que ya no es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Acto seguido, afirma que el recurso de amparo carece de especial trascendencia constitucional, pues la que expresamente aduce la administración recurrente no es tal. Señala que no corresponde al Tribunal Constitucional clarificar cuáles son los supuestos que han de concurrir para aplicar la doctrina del “acto claro” o del “acto aclarado”, ya que esa cuestión se anuda a la interpretación del art. 267 TFUE y de la jurisprudencia dictada en su desarrollo por el Tribunal de Justicia de la Unión Europea. Por otro lado, aunque sí corresponde al Tribunal Constitucional analizar, desde la perspectiva del art. 24 CE, la interpretación que el tribunal ordinario haga del art. 267 Tratado de funcionamiento de la Unión Europea, pone de relieve que, sobre ese aspecto, la doctrina constitucional es inequívoca y pétrea, como ha quedado expuesto. Asimismo, recuerda que, en un caso que considera idéntico, concretamente el resuelto por la STS de fecha 7 de febrero de 2012, que declaró inaplicable el sistema de financiación del bono social regulado en el Real Decreto-ley 6/2009, el Tribunal Constitucional acordó la inadmisión de la demanda de amparo interpuesta por la Abogacía del Estado, mediante providencia de 26 de septiembre de 2012, al apreciar la manifiesta inexistencia de violación de un derecho fundamental tutelable. Añade que, pese a los esfuerzos de la administración demandante por poner de relieve las diferencias entre el modelo de financiación seguido por el Real Decreto-ley 6/2009 (el coste se distribuía entre una lista de entidades cerrada e inamovible) y el establecido por el art. 45.4 LSE (sistema no definitivo ni nominal, sino contingente), lo cierto es que las diferencias que refiere la demandante no son tales, por lo que procede adoptar la misma decisión que la acordada en la providencia indicada. Además, añade que la administración carece de legitimación para recurrir, pues aunque el recurso de amparo también se encuadra formalmente en el artículo 24.2 CE, lo que realmente se invoca es un déficit de motivación que debe encontrar encaje en el artículo 24.1 CE. Y esa dimensión del derecho a la tutela judicial efectiva sin indefensión no protege a las personas jurídico-públicas cuando, como acontece en el presente, la administración actúa en el ejercicio de sus potestades jurídico-públicas.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niega que las resoluciones impugnadas hayan vulnerado el art. 24 CE. Tras detallar exhaustivamente los diferentes argumentos que ofrece la sentencia para desmontar las razones contenidas en la exposición de motivos del Real Decreto-ley 9/2013 acerca del sistema de financiación del bono social, así como las que ofrece para justificar el no planteamiento de la cuestión prejudicial ante el Tribunal de Justicia de la Unión Europea, de todo ello colige: i) que en el presente supuesto no existe una duda objetiva, clara y terminante sobre la contradicción entre el Derecho de la Unión y el Derecho Nacional, pues así lo expresa el Tribunal Supremo en su razonamiento y ii) que la decisión adoptada por ese órgano judicial es fruto de una exégesis racional de la legalidad ordinaria y no resulta ser, por tanto, manifiestamente arbitraria o injustificada. Y ello porque la referida resolución explica de manera detallada los hechos del caso y los principios y la normativa aplicable; expone la doctrina del Tribunal de Justicia de la Unión Europea que considera de aplicación en relación con los límites impuestos a las obligaciones de servicio público (asuntos Federutility y Anode) y constata que esa doctrina coincide con la interpretación del art. 3 de la Directiva 2009/72/CE, por lo que concluye con la afirmación de que el Tribunal Supremo decidió no plantear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apoyo de la decisión adoptada por el Tribunal Supremo, considera que, entre la obligación de financiar el déficit de tarifa y financiar el bono social, existen sustanciales diferencias, principalmente porque esta última es una obligación de servicio público. También refiere que, datos tales como la formulación de un voto particular proclive al planteamiento de la cuestión prejudicial, que el dictamen en Consejo de Estado no opusiera reparos a la compatibilidad del sistema de financiación del bono social con el Derecho de la Unión o que se excluyera la imposición de costas porque la controversia suscita suficientes dudas de Derecho para considerar improcedente la condena en costas, no engendran una “duda razonable” que determine la necesidad de plantear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abril de 2019, se señaló para deliberación y votación de la presente sentencia el día 6 de mayo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El presente recurso de amparo tiene por objeto la sentencia dictada por la Sección Tercera de la Sala de lo Contencioso-administrativo del Tribunal Supremo el día 7 de diciembre de 2017 en el recurso de casación núm. 122-2016, así como el auto de 29 de enero de 2018, de la misma Sala y Sección, que desestimó el incidente de nulidad de actuaciones promovido por la recurrente frente a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objeto del presente proceso constitucional como los planteamientos procesales y sustantivos introducidos por las partes en el debate de este recurso son sustancialmente coincidentes con los que ya han sido abordados por el Pleno del Tribunal Constitucional en nuestra reciente STC 37/2019, de 26 de marzo (recurso de amparo núm. 593-2017), a cuyos fundamentos debemos remitirnos. En consecuencia, procede desestimar la alegación de que la parte demandante (Administración General del Estado) no ha justificado la especial transcendencia constitucional del recurso [STC 37/2019, FJ 3 b)], de que carece de especial transcendencia constitucional [STC 37/2019, FJ 3, b)], así como la de que se ha producido la pérdida sobrevenida de objeto (STC 37/2019, FJ 2) y de falta de legitimación de la administración demandante [STC 37/2019, FJ 3 a)], y debemos dar por reproducidos los FFJJ 4 a 6. En ellos, tras exponer la doctrina constitucional sobre el planteamiento de la cuestión prejudicial y examinar el pronunciamiento de la Sala Tercera del Tribunal Supremo en el caso enjuiciado, consideramos vulnerado el derecho a un proceso con todas las garantías (art. 24.2 CE), debido a la ausencia de los presupuestos necesarios para apreciar que concurriera “acto aclarado” que exima de la obligación de plantear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procede estimar el recurso de amparo por vulneración del derecho a un proceso con todas las garantías (art. 24.2 CE) y declarar la nulidad de la sentencia y del auto objeto de impugnación, con retroacción de actuaciones al momento anterior al de dictarse la primera de las resoluciones citadas, a fin de que la Sala de lo Contencioso-Administrativo del Tribunal Supremo dicte otra resolución respetuosa con el derecho fundamental conculcado.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solicitado por la Administración General del Estado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a un proceso público con todas las garantías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la integridad de su derecho y, a tal fin, anular la sentencia de la Sección Tercera de la Sala de lo Contencioso-Administrativo del Tribunal Supremo de 7 de diciembre de 2017, recaída en el recurso de casación núm. 122-2016, y el auto de 29 de enero de 2018, de la misma Sala y Sección, por el que se desestimó el incidente de nulidad de actuaciones promovido frente a la referida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de la sentencia, para que el indicado órgano judicial dicte nueva resolución que sea respetuosa con el derecho fundamental vulnerado, en los términos expresados en el fundamento jurídico quinto de esta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mayo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