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20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3930-2018, promovido por don Ricardo Gómez Noriega, don Adrián Gómez Noriega y Transportes Gómez Noriega, S.L., contra la sentencia de 22 de febrero de 2018, núm. 52/2018, de la Sección Primera de la Audiencia Provincial de Gipuzkoa, que revocó la sentencia absolutoria dictada en primera instancia por el Juzgado de lo Penal núm. 3 de Donostia en el procedimiento abreviado núm. 42-2017 y condenó a las personas físicas recurrentes en amparo, como coautores de un delito contra los derechos de los trabajadores del art. 311.1 del Código penal, a la pena de dos años y seis meses de prisión, inhabilitación especial para el ejercicio del derecho de sufragio pasivo durante la duración de la condena, diez meses de multa y el abono de una indemnización por los daños y perjuicios causados, así como a la sociedad recurrente en amparo como responsable civil subsidiaria para el abono de esta última. Igualmente se dirige el recurso contra el auto de 4 de junio de 2018 del mismo órgano judicial, que desestimó el sucesivo incidente de nulidad de actuaciones. Ha comparecido doña Teodora Hoyos Fernández.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julio de 2018, don Ricardo Gómez Noriega, don Adrián Gómez Noriega y Transportes Gómez Noriega, S.L., representados por el procurador de los Tribunales don Ignacio Argos Linares y bajo la dirección de la abogada doña Carmen Sánchez Morán, interpusieron recurso de amparo, por vulneración de los arts. 24.1 y 24.2 CE, contra la sentencia de 22 de febrero de 2018, núm. 52/2018, de la Sección Primera de la Audiencia Provincial de Gipuzkoa, que revocó la sentencia absolutoria dictada en primera instancia por el Juzgado de lo Penal núm. 3 de Donostia en el procedimiento abreviado núm. 42-2017, así como contra el auto de 4 de junio de 2018 del mismo órgano judicial, que desestimó el sucesivo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solicitaba por otrosí, ex art. 56 de la Ley Orgánica del Tribunal Constitucional (LOTC), la suspensión de los efectos de las resoluciones impugnadas, por cuanto su ejecución podría causar perjuicios irreparables. Por ATC 93/2018, de 17 de septiembre, se acordó suspender la ejecución de las penas privativas de libertad impuestas a los recurrentes, así como también de las accesorias de privación del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personas físicas demandantes en amparo fueron absueltas por sentencia del Juzgado de lo Penal núm. 3 de Donostia, de 29 de septiembre de 2017, del delito contra los derechos de los trabajadores por el que venían siendo acusadas, en concreto, por la imposición de condiciones restrictivas de trabajo mediante engaño o abuso de situación de necesidad [art. 311.1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dicha Sentencia se establecían los siguientes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Ricardo Gómez Noriega y don Adrián Gómez Noriega, ambos mayores de edad, eran, respectivamente, encargado y administrador de la mercantil Transportes Gómez Noriega, S.L., con domicilio social en San Vicente de la Barquera (Cantabria), dedicada a la actividad de transporte terrestre. Dicha empresa, representada por su administrador, don Adrián Gómez Noriega, contrató a don Daniel Fernández Hoyos como conductor, con la categoría o nivel profesional de conductor de vehículos hasta 3.500 Kg, mediante dos contratos a tiempo completo (jornada semanal de 40 horas, de lunes a domingo), de duración determinada por exceso de tareas. El primero de ellos tuvo vigencia desde el 3 de julio de 2012 hasta el 14 de agosto de 2012. El segundo se concertó con una vigencia inicial desde el 3 de septiembre de 2012 hasta el 2 de noviembre de 2012, siendo objeto de una prórroga de tres meses de duración, desde el 3 de noviembre de 2012 hasta el 2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vigencia del primero de los contratos, el Sr. Fernández Hoyos prestó servicios para la empresa de Transportes Gómez Noriega, S.L., realizando, ordinariamente, la ruta nocturna Irún-Madrid-Irún, mostrándose satisfecho con el trabajo que realizaba. Durante la vigencia del segundo contrato, se le adjudicó la ruta nocturna Irún-Benavente-Irún. En ambos casos realizaba la ruta como único conductor de la furgoneta que tenía asignada, con una frecuencia habitual de cinco días a la semana.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ruta Irún-Benavente-Irún se realizaba por el trazado Irún-Beasain-Vitoria-Burgos-Benavente, ida y vuelta, realizándose el tramo de Burgos a Benavente a través de las vías que pasan por Palencia y Villalón de los Campos, lo que supone abandonar la autovía para transitar por la N-610 entre Palencia y las inmediaciones de Benavente, atravesando en dicho tramo, de unos 100 km, diversas poblaciones. El resto del trayecto se efectuaba por autovía o autopista. Esto supone que el conductor realizaba una ruta diaria de unos 900 km, entre ida y vuelta, en horario vespertino-nocturno, con diversas paradas para recoger y entregar mercancía en los puntos logísticos que tenía asignados, conduciendo cada jornada un tiempo variable pero ordinariamente no inferior a diez horas, sin tener en cuenta los tiempos de carga y descarga ni los descansos. Considerando estos tiempos, invertía diariamente en la ruta un tiempo no inferior a doce horas. Además, y fuera de su prestación laboral, había de desplazarse desde su domicilio de Lasarte hasta el centro logístico en Irún que era cabecera y destino de la ruta, y desde este a Lasarte, al inicio y al final de su jornada, respectivamente, para lo que también utilizaba la furgoneta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realización de esta última ruta produjo una situación de agotamiento y falta de descanso en el Sr. Fernández Hoyos, agravada por la dificultad para conciliar el sueño al terminar su ruta y regresar a casa, a primera hora de la mañana. Esta situación le llevó a acudir al centro de salud de Lasarte, donde fue atendido por su médico de familia en dos ocasiones en relación a la situación de agotamiento que presentaba. En la primera consulta, de fecha 15 de octubre de 2012, se constató por la médico: ‘Trabaja de noche de chofer de camión, insomnio de despertar precoz desde hace un mes y medio y también rotura con su pareja hace tres meses. Ánimo bajo este último mes (al principio se lo tomaron como darse un tiempo). Ha probado con [indica el tratamiento] descansando un poco mejor’; se le implantó tratamiento […] y revisión en dos semanas. En la segunda consulta, el 12 de noviembre de 2012 se reseñó: ‘Se encuentra bien con el tratamiento. Pero por el trabajo, chofer de furgón, hace jornadas muy largas, sale por la tarde y vuelve por la mañana’. La doctora le propuso la posibilidad de coger una baja, pero el paciente lo desestimó manifestando que precisaba trabajar y no quería perder el trabajo. Se le mantuvo 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noviembre de 2012, mientras realizaba su ruta, en las proximidades de Villalón de los Campos (Valladolid), el don Daniel Fernández Hoyos decidió rociarse de gasolina y prenderse fuego, acabando así con su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Daniel Fernández Hoyos no le constaban en su centro de salud antecedentes de patología psicológica ni de consumo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hechos probados resultaban de la valoración de la prueba testifical y documental practicada (fundamento de Derecho primero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juzgadora exponía las exigencias típicas del art. 311.1 CP aplicable al caso, según el cual, en la versión del Código penal entonces vigente, serían castigados con las penas de prisión de seis meses a tres años y multa de seis a doce meses los que, mediante engaño o abuso de situación de necesidad, impongan a los trabajadores a su servicio condiciones laborales o de Seguridad Social que perjudiquen, supriman o restrinjan los derechos que tengan reconocidos por disposiciones legales, convenios colectivos o contrato individual. Afirmaba que el núcleo del ilícito radicaba, desde el prisma penal, no tanto en el “imponer” una serie de condiciones de trabajo, cuya juridicidad sería competencia del orden social de la jurisdicción, como en el “engañar” o “abusar de la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traía a colación la STS 494/2016, de 9 de junio, que situó el elemento del engaño del tipo penal en “la utilización de algún ardid que lleve al empleado a asumir la prestación de su trabajo en condiciones que, de no mediar aquél, no habría aceptado”, y, de su lado, el abuso de la situación de necesidad en “aprovecharse de modo excesivo de una persona en beneficio propio” siempre que, desde la perspectiva subjetiva del elemento, “el autor conozca la situación de la víctima y que ésta acepta forzada la relación laboral” y que quien comete el delito “busque voluntariamente que esta acepte unas condiciones que, de no concurrir la situación, sabe que no aceptaría”. Con esas bases calificativas razonaba como sigue para absolver a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las consideraciones precedentes puede concluirse que en el delito del ordinal 1 del art. 311, y concretamente en su modalidad de abuso de situación de necesidad (que es la que nos interesa) se integran tres elementos que lo definen: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condiciones laborales o de Seguridad Social que perjudiquen, supriman o restrinjan los derechos reconocidos por disposiciones legales, convenios colectivos o contrato individual. Es un elemento cuasi-normativo, que surge del contraste entre las condiciones laborales que se imponen y la regulación normativa o contractual de los derechos laborales o sociales. La afectación de estos derechos ha de ser sustancial.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en el sujeto activo de una situación de necesidad, que ha de ser distinta de la genérica necesidad de trabajar.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abuso, es decir, la instrumentalización de esa genuina situación de necesidad, por parte del empleador para imponer aquellas condiciones. Exige el conocimiento cierto de esta situación de necesidad singular, no genérica, y el dolo de prevalerse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es notorio que se imponen condiciones laborales seriamente restrictivas de los derechos del trabajador y contrarias a las normas del contrato y del convenio colectivo (unido a las actuaciones a los folios 364 y ss). Se exceden sistemáticamente la jornada máxima semanal (40 horas) y los tiempos máximos diarios de conducción (9 horas diarias, pudiendo llegar a 10 un máximo de dos días a la semana). La conducta aparece, pues, como ilícita y por tanto como reprochable no sólo desde el punto de vista del juicio ético sino también del jurídico. Pero no aparece de manera nítida el abuso de la situación de necesidad entendidos ambos (abuso y situación de necesidad) en los términos que quedan apuntados para convertir el ilícito laboral en delito. Y por ello los acusados deben ser penalmente absueltos, sin que ello se entienda como validación de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 la Sección Primera de la Audiencia Provincial de Gipuzkoa que se recurre en amparo, de 22 de febrero de 2018, núm. 52/2018, estimó parcialmente el recurso de apelación sucesivo y condenó a las personas físicas recurrentes en amparo, como coautores de un delito contra los derechos de los trabajadores del art. 311.1 del Código penal (redacción dada por la Ley Orgánica 10/1995, de 25 de noviembre), a la pena de dos años y seis meses de prisión, inhabilitación especial para el ejercicio del derecho de sufragio pasivo durante la duración de la condena, diez meses multa con cuota diaria de diez euros y al abono de una indemnización de 107.959,85 €, condenando a la mercantil que también formula la demanda de amparo como responsable civil subsidiaria del abono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Insistía la Sala en que el objeto del recurso era únicamente el juicio de adecuación típica sobre el abuso de una situación de necesidad, de suerte que la petición de revisión estaría “fundada en consideraciones exclusivamente jurídicas”. Para resolver tal pretensión rechazaba a renglón seguido el relato de los hechos realizado en el recurso por la parte recurrente, por no ser conforme con la declaración contenida en la resolución impugnada, y decía que lo que verdaderamente se consideró acreditado en la instancia, en cuanto al elemento típico discutido, sería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“2.6.1.- Fue la falta de descanso del trabajador, por las ilegales condiciones de trabajo impuestas desde septiembre de 2012, la que produjo una situación de agotamiento que se agravó por la dificultad para conciliar el sueño al terminar la ruta y regresar a casa a primera hora de la mañana.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2.6.2.- Médicamente se le aconsejó que cogiera la baja laboral por el estado de agotamiento que presentaba.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2.6.3.- El trabajador se negó a aceptar la baja laboral porque precisaba trabajar y no quería perder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2.6.4.- El trabajador se suicidó, once días después de la propuesta médica de coger la baja, sin que la autolisis pueda ser atribuida a la presencia de una patología psicológica preexistente ni al consumo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a su entender: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Los datos transcritos reflejan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2.7.1.- La situación creada con la imposición de las ilegales condiciones de trabajo en materia de descanso era un aliud respecto a la desigualdad inherente en la relación laboral. Y ello porque el descanso era, en el caso concreto, una variable fundamental por el contexto específico en el que el trabajador desempeñaba una actividad de indiscutible riesgo propio y ajeno: conduciendo una furgoneta de noche, con lo que ello conlleva de dificultades para conciliar el sueño por la alteración que introduce en el ritmo vital dormir de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2.7.2.- El trabajador no tuvo una alternativa real al sometimiento a las mentadas condiciones ilegales y abusivas dado que carecía de empleo alternativo, precisaba del empleo para generar ingresos y eran máximas las dificultades para encontrar trabajo no cualificado en una economía debilitada por la hondura de la crisis iniciada cuatro años antes. Y ello explica que, a pesar del agotamiento generado por la falta de descanso provocada por las ilegales condiciones laborales impuestas, don Daniel rechazara la única opción médica hábil para afrontar el consumo completo de su energía física y emocional —la baja laboral por razones terapéuticas—, aduciendo que precisaba trabajar y que no quería perder el trabajo. Y ello —lo que refleja la necesidad del empleo— cuando estaba psíquicamente destrozado por la situación laboral ilegalmente impuesta, hasta el punto de que, once días después, en pleno desempeño de su trabajo, se suicidó (la sentencia de instancia declara probado que la realización de la última ruta produjo una situación de agotamiento y falta de descanso del trabajador y descarta que una patología psicológica previa o un consumo abusivo de drogas alimentaran la ideación autolítica).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2.7.3.- Los empleadores utilizaron en beneficio propio las ilegales condiciones de trabajo impuestas a quien necesitaba ese trabajo, dado que, de esta manera, obtenían la plena disponibilidad del trabajador para el cumplimiento de la tarea encomendada por la empresa cuyo desempeño precisaba, sin duda, atendiendo a los excesos de tiempo de conducción que eran continuos y relevantes, de más de un empleado. Por lo tanto, se produjo un aprovechamiento sumamente significativo de un trabajador en beneficio de quienes lo emplearon”.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concluía: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existió una imposición de condiciones laborales que infringían de una forma enormemente lesiva el derecho al descanso del trabajador exigido por el convenio colectivo del sector de transporte así como por su propio contrato de trabajo y, para ello, se abusó de una específica situación de necesidad. Se ejecutó, consecuentemente, la parte objetiva del tipo descrito en el artículo 311.1 del Código penal. Desde la perspectiva de la parte subjetiva, el dolo, tal y como especifican las SSTS 247/2017 y 639/2017, anteriormente referidas, no precisa que el sujeto activo quiera directamente y exclusivamente la privación de los derechos de sus trabajadores, sino que basta que para la consecución de sus propósitos acepte el camino que supone necesariamente la privación de tales derechos a sus trabajadores y, con tal conocimiento y consentimiento, continúe su ilícito actuar. Es lo que ocurre en este supuesto: atendiendo a la descripción realizada en la sentencia de instancia en la declaración probatoria, los dos empleadores (quienes tienen el dominio del hecho desde la perspectiva de la competencia de gestión de la empresa que contrata) conocen que, prevaliéndose de la situación de necesidad del trabajador, le han impuesto unas condiciones de trabajo que, en lo referido al descanso, suponen una dañina vulneración de lo regulado en el convenio colectivo y el contrato laboral. Y, pese a ello, deciden imponerlas y mantenerlas”.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esa lectura y con apoyo en las SSTS 247/2017, de 5 de abril, y 639/2017, de 28 de septiembre, posteriores a la STS 494/2016 tomada como referencia en la sentencia recurrida, se declaró que los acusados eran autores del delito por el que resultaban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4 de junio de 2018 se desestimó el incidente de nulidad de actuaciones planteado por los recurrentes. Los motivos del incidente consistían en la infracción de los límites que resultan inherentes al motivo de apelación por quebrantamiento de normas; en la declaración de culpabilidad introduciendo hechos nuevos, distintos y/o contradictorios de los que se contemplaron expresamente en la sentencia de instancia; en que se omitieran y obviasen las conclusiones fácticas alcanzadas por la juez de instancia y, en fin, que se considerara tácitamente acreditado el elemento subjetivo del delito “sobre la base de la realización de una inferencia subjetiva de los hechos considerados probados en la sentencia de instancia y sin escuchar presencialmente” a los acusados “que se han topado sorpresivamente con un fallo condenatorio fundamentado en una serie de afirmaciones y hechos que no han podido desmentir o combatir”.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desestimó el incidente de nulidad de actuaciones reproduciendo literalmente contenidos de la sentencia cuya nulidad se solicitaba. Así, (i) transcribe los hechos declarados probados en la instancia; (ii) recoge cómo se delimitaban en ella los términos del debate procesal; (iii) recuerda lo que razonó el pronunciamiento judicial sobre el alegato de la parte que cuestionaba el juicio probatorio, aunque fuera sin articular una impugnación fáctica; (iv) señala cómo se circunscribió por el tribunal el juicio de subsunción típica y reitera, desde esa perspectiva, lo que dispuso la sentencia de apelación, tomando como referente los hechos declarados probados en la sentencia de instancia, sobre la concurrencia del elemento típico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extensa demanda contiene un amplio apartado, bajo la rúbrica “Legislación y jurisprudencia aplicables”, en el que aborda de forma abstracta, con numerosas referencias jurisprudenciales y legales, (i) cuestiones relativas a la competencia para la valoración de la prueba practicada en el juicio oral; (ii) la redacción de la Ley procesal aplicable al caso, que a su juicio no permitía revocar en trámite de apelación una sentencia absolutoria cuando ello obligase a realizar la más mínima modificación, reinterpretación o interpretación extensiva contra reo de los hechos que habían sido declarados probados en la sentencia de instancia; (iii) la reforma de la Ley de enjuiciamiento criminal operada por la Ley 41/2015, de 5 de octubre, y su falta de utilidad práctica en el caso de autos; (iv) los perfiles configuradores del recurso de apelación por infracción de ley o quebrantamiento de normas; (v) la necesidad para un fallo condenatorio de que hayan quedado plenamente acreditados, más allá de toda duda razonable, todos y cada uno de los elementos del delito, incluidos los subjetivos; (vi) el deber de motivación de las sentencias absolutorias; y, en fin, (vii) los contenidos del derecho a la presunción de inocencia y del derecho a un proceso justo con todas las garantías, con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esa larga exposición de doctrinas, procede al examen del caso concreto y a la formulación de sus quejas sustantivas. A su parecer, se infringe el art. 24.2 CE por las mismas razones que ya se expusieran en el incidente de nulidad de actuaciones, que se recogieron en el número anterior, y muy señaladamente porque la sentencia de 22 de febrero de 2018, núm. 52/2018, de la Sección Primera de la Audiencia Provincial de Gipuzkoa, que revocó la sentencia absolutoria dictada en primera instancia por el Juzgado de lo Penal núm. 3 de Donostia en el procedimiento abreviado núm. 42-2017, consideró acreditado el elemento subjetivo del delito tras una inferencia subjetiva de los hechos considerados probados en la sentencia de instancia sin escuchar presencialmente a los acusados, que no pudieron desmentirlo o combatirlo.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la resolución judicial recurrida partió de una premisa errónea, pues estimó que el único elemento del delito que no se había declarado acreditado en instancia era el “abuso” de una situación de necesidad, cuando lo cierto es que tampoco llegaron a entenderse probados otros. Serían, en concreto, tres, a saber: (i) la situación de necesidad del trabajador; (ii) el abuso, por parte de los empleadores, de dicha situación de necesidad para imponer al trabajador las condiciones laborales ilegales y, para terminar, (iii) la concurrencia de dolo, esto es, que los empleadores conocieran la situación de necesidad en la que se encontraba el trabajador y se aprovecharan de dicha situación para conseguir su propósito, con independencia de que quisieran o no perjudicar al trabajador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eso lo que reflejaba la sentencia de instancia, el apartado 2.7 del fundamento de Derecho segundo de la sentencia de apelación se apartó manifiestamente de los hechos que fueron expresamente declarados probados, introduciendo una serie de afirmaciones y juicios de inferencia que no solo eran novedosos, sino que incluso resultaban contradictorios respecto a los realizados por la juez que apreció la prueba con inmediación, todo ello con la finalidad de poder justificar posteriormente la concurrencia de los elementos del tipo penal y la culpabilidad de los recurrentes en amparo. Así, en particular, la Sala de apelación declaró que (i) el trabajador “no tuvo una alternativa real al sometimiento” a las condiciones ilegales y abusivas “dado que carecía de empleo alternativo”; (ii) que eran “máximas” sus dificultades para encontrar otro trabajo; (iii) que la baja laboral era su “única opción médica hábil”, o (iv) que lo que el trabajador manifestó a su médico de familia “refleja” su necesidad de empleo. Todos ellos elementos fácticos en ningún caso declarados probados en la primera instancia. Lo mismo ocurrió, afirma, con otros datos de hecho, como que (i) “los empleadores utilizaron en beneficio propio las ilegalidades condiciones de trabajo impuestas a quien necesita ese trabajo”; (ii) que haciéndolo “obtenían la plena disponibilidad del trabajador para el cumplimiento de la tarea encomendada por la empresa cuyo desempeño precisaba, sin duda, atendiendo a los excesos de tiempo de conducción que eran continuos y relevantes, de más de un empleado”, o, finalmente, (iii) que “se produjo un aprovechamiento sumamente significativo de un trabajador en beneficio de quienes lo emplearon”. Otra vez afirmaciones introducidas ex novo en el trámite de apelación, nos sustentadas en los hechos probados y que, incluso, los contradicen.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más allá de todo ello, prosiguen más tarde, aunque se aceptara por completo la tesis de la Audiencia Provincial en todo lo anterior, la lesión se habría producido en todo caso porque no cabe estimar acreditada la concurrencia del dolo como elemento subjetivo del injusto sin escuchar presencialmente a los acusados, cuando la juez a quo, que sí los escuchó, concluyó lo contrario. Citan a tal fin y reproducen literalmente la doctrina de la STC 125/2017, de 13 de noviembre, y sostienen que jurisprudencia constitucional establece que la apreciación de la concurrencia de los elementos anímicos que se infieren de la conducta del autor, esto es, de su manifestación externa en un contexto determinado, no solo expresa una valoración fáctica necesitada usualmente de publicidad, inmediación y contradicción, sino que, en todo caso, requiere ofrecer al acusado, que niega haber cometido el hecho que se le imputa, la posibilidad de estar presente en un debate público donde pueda defender sus intereses contradictoriamente. Algo que, de nuevo, habría sido soslayado por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el reconocimiento de los derechos del art. 24.2 CE que se invocan en el recurso y que se declare la nulidad de la sentencia de 22 de febrero de 2018, núm. 52/2018, de la Sección Primera de la Audiencia Provincial de Gipuzkoa, y del auto de 4 de junio de 2018 del mismo órgano judicial, que desestimó el sucesivo incidente de nulidad de actuaciones, dando validez al fallo de la sentencia del Juzgado de lo Penal núm. 3 de Donostia-San Sebastián dictada en el procedimiento abreviado núm. 42-2017.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19 de julio de 2018, la Sección Cuarta de este Tribunal acordó admitir a trámite el recurso de amparo, apreciando que en el mismo concurre una especial trascendencia constitucional porque la doctrina de este Tribunal sobre el derecho fundamental que se alega podría estar siendo incumplida de modo general y reiterado por la jurisdicción ordinaria o pudieran existir resoluciones judiciales contradictorias sobre el derecho fundamental [STC 155/2009, FJ 2 e)]. En aplicación de lo dispuesto en el artículo 51 de la Ley Orgánica del Tribunal Constitucional (LOTC), se ordenó dirigir atenta comunicación a la Sección Primera de la Audiencia Provincial de Gipuzkoa y al Juzgado de lo Penal núm. 3 de Donostia para que remitieran certificación o fotocopia adverada de las actuaciones correspondientes (apelación recurso núm. 1183-2017, y procedimiento abreviado núm. 42-2017 del Juzgado de lo Penal núm. 3 y ejecutoria 715-2018 del Juzgado de lo Penal núm. 4, respectivamente), así como, al último citado, para que procediera a emplazar a quienes hubieran sido parte en el procedimiento, excepto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asimismo, acordaba la suspensión cautelar de la sentencia de 22 de febrero de 2018, núm. 52/2018, y de los mandamientos de entrada en prisión emitidos por el Juzgado de lo Penal núm. 4 de Donostia, en la ejecutoria 715-2018. Por ATC 93/2018, de 17 de septiembre, se acordó “suspender la ejecución de las penas privativas de libertad impuestas a los recurrentes, y las accesorias de privación del derecho de sufragio pasivo durante el tiempo de la condena, por la sentencia de 22 de febrero de 2018, núm. 52/2018, de la Sección Primera de la Audiencia Provincial de Gipuzkoa, dictada en el rollo de apelación núm. 1183-2017”.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Compareció doña Teodora Hoyos Fernández, mediante escrito registrado en este Tribunal el día 27 de julio de 2018. Se la tuvo por personada por medio de diligencia de ordenación de 27 de septiembre de 2018, acordándose al amparo del art. 52.1 LOTC dar vista de las actuaciones recibidas a las partes personadas y al ministerio fiscal, por plazo común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24 de octubre de 2018 presentó sus alegaciones la representación de doña Teodora Hoyos Fernández, solicitando la desestimación del recurso de amparo. A su parecer, la sentencia recurrida, sin alterar los hechos probados (ni incluyendo ni introduciendo hecho nuevo alguno), estimó que estos eran constitutivos del delito objeto de imputación, ya que la juez de instancia incurrió en una evidente contradicción jurídica al reconocer la existencia del ilícito jurídico-penal y absolver en cambio a los acusados de tal delito. La Audiencia Provincial de Gipuzkoa partió, por tanto, de forma escrupulosa de los hechos probados, y sin necesidad alguna de tener que modificarlos se limitó a revisar si los mismos reunían o no los requisitos o elementos objetivos y subjetivos del tipo penal, habiéndose llegado a la conclusión jurídica de tipo condenatorio que se recoge en el fallo de la misma. No se habría producido, por consiguiente,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en amparo, por escrito registrado en este Tribunal el día 30 de octubre de 2018, se ratificó íntegramente en los contenidos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interesó el otorgamiento del amparo en escrito de 6 de noviembre de 2018. Razonó que la Sala procedió a declarar probada la concurrencia del elemento subjetivo del tipo penal sin oír a los recurrentes en una vista pública, alcanzando sus conclusiones sin cumplir por tanto las garantías constitucionales en la revisión de una realidad jurídico penal intrínsecamente vinculada con elementos subjetivos del delito, pues lo hizo al margen de sus testimonios y sin vista pública para que fueran oídos. Ello determina a su juicio la vulneración del derecho a un proceso con todas las garantías (art. 24.2 CE), conforme a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 cuanto a la alegación del derecho a la presunción de inocencia, y con cita de la STC 59/2018, postula en cambio que tal lesión no se ha producido, puesto que fueron las premisas fácticas contenidas en el relato de hechos probados las que permitieron inferir la concurrencia de los elementos del tipo, premisas que no eran diferentes a las que permitieron al órgano judicial de instancia alcanzar conclusión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finalmente que el recurso de amparo se interpone, de manera no diferenciada de los otros dos recurrentes, por la mercantil Transportes Gómez Noriega, S.L, por vulneración de idénticos derechos fundamentales. La demanda de amparo, sin embargo, afirma, no contiene ninguna referencia argumental sobre en qué medida se le habría causado a dicha sociedad una lesión de tales derechos, cuando solo fue condenada civilmente. No obstante, añade después, en la medida en que se declare vulnerado el derecho de los otros dos recurrentes a un proceso con todas las garantías del art. 24.2 CE, por no haber sido oídos en una vista pública por el tribunal que les ha condenado por primera vez, dicha vulneración produce efectos sobre la situación jurídica de la sociedad mencionada, por lo que procedería, a su juicio, estimar el recurso de amparo interpuesto por los tres recurrentes, retrotrayendo las actuaciones al momento anterior a dictar sentencia para que, por la Audiencia Provincial, se proceda a oír a los recurrentes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mayo de 2019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22 de febrero de 2018, núm. 52/2018, de la Sección Primera de la Audiencia Provincial de Gipuzkoa, que revocó la sentencia absolutoria dictada en primera instancia por el Juzgado de lo Penal núm. 3 de Donostia en el procedimiento abreviado núm. 42-2017 y condenó a las personas físicas recurrentes en amparo, que habían sido inicialmente absueltas, como coautores de un delito contra los derechos de los trabajadores del art. 311.1 del Código penal, a la pena de dos años y seis meses de prisión, inhabilitación especial para el ejercicio del derecho de sufragio pasivo durante la duración de la condena, diez meses de multa y el abono de una indemnización por los daños y perjuicios causados, así como a la sociedad recurrente como responsable civil subsidiaria del abono de esta última. Se dirige el recurso también contra el auto de 4 de junio de 2018 del mismo órgano judicial, que desestimó el sucesivo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sentencia de apelación citada infringió el derecho a la tutela judicial efectiva (art. 24.1 CE), que, según dicen en su recurso, integra el derecho fundamental a un proceso con todas las garantías, el derecho de defensa y el derecho a la presunción de inocencia (art. 24.2 CE), y ello porque apreció en ese grado jurisdiccional la concurrencia de elementos típicos, señaladamente elementos subjetivos del delito por el que los recurrentes fueron finalmente condenados tras haber sido absueltos en instancia, que no habían sido apreciados por el órgano a quo, sin escuchar presencialmente a los acusados, que no pudieron desmentirlo o combatirlo. Más allá de que sean diferentes las alegaciones que sustentan dicha pretensión, y varias las discrepancias que se enuncian, deriva finalmente el recurso en esa objeción esencial, pues la propia parte apunta ese factor como decisivo aunque no se apreciaran las restantes objeciones que formula, esto es: que la Sala de apelación se apartara manifiestamente de los hechos que fueron expresamente declarados probados mediante la introducción de una serie de afirmaciones y juicios de inferencia que no solo eran novedosos e incluso contradictorios respecto a los realizados por la juez que apreció la prueba con inmediación, sino que lo hiciera, pese a referirse al elemento subjetivo del injusto, sin escuchar presencialmente a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Comparte el ministerio fiscal la pretensión, aunque solo en lo relativo al derecho a un proceso con todas las garantías (art. 24.2 CE), mientras que la representación de doña Teodora Hoyos Fernández, que se ha personado en este proceso constitucional, estima en cambio que la sentencia recurrida se ajustó a las exigencias y garantías de las condenas en segunda instancia, según relatamos en los antecedentes de ese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Recientemente la STC 59/2018, de 4 de junio, FJ 3, ha recogido la doctrina en la materia que es objeto de este proceso constitucional. La recordaremos con toda fidelidad transcribiendo sus términos, pues no es necesario añadir matiz alguno a la vista de los perfiles del asunto que ahora se enjuicia. Decía así, en lo que ahora resulta decisivo para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Las indicadas garantías del acusado en la segunda instancia fueron ampliadas a consecuencia de los diversos pronunciamientos del Tribunal Europeo de Derechos Humanos. Y en lo referente a la acreditación de los elementos subjetivos del delito, este Tribunal, perfilando el criterio de la STC 184/2009, afirmó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(STC 126/2012,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ampliación era el corolario de la recepción, entre otras muchas, de las SSTEDH de 10 de marzo de 2009, asunto Igual Coll c. España, § 27; 21 de septiembre de 2010, asunto Marcos Barrios c. España, § 32; 16 de noviembre de 2010, asunto García Hernández c. España, § 25; 25 de octubre de 2011, asunto Almenara Álvarez c. España, § 39; 22 de noviembre de 2011, asunto Lacadena Calero c. España, § 38. A las que siguieron con posterioridad las SSTEDH de 27 de noviembre de 2012, asunto Vilanova Goterris y Llop García c. España, y de 13 de junio de 2017, asunto Atutxa Mendiola y otros c. España (§§ 41 a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resolución del Tribunal de Estrasburgo merece una especial referencia. En ella se constata que el Tribunal Supremo, pese a que reprodujo los hechos que habían sido considerados probados en la Sentencia absolutoria dictada por el Tribunal Superior de Justicia del País Vasco, efectúa una nueva valoración de los distintos elementos de prueba que ya habían sido examinados por el órgano de instancia: por una parte, medios de carácter documental y, por otra, testimonios propuestos tanto por la parte acusadora como por los demandantes, así como las declaraciones de estos últimos. Y concluyó que los acusados se habían negado “de manera consciente y deliberada” a acatar la resolución del propio Tribunal Supremo. La STEDH consideró que el Tribunal Supremo procedió a una nueva valoración de las pruebas sin haber tenido un contacto directo con las partes y, sobre todo, sin haber permitido que estas últimas expusieran sus argumentos en respuesta a las conclusiones expuestas. Finalmente, el Tribunal Europeo razonó que el Tribunal Supremo, para llegar a esa distinta interpretación jurídica del comportamiento de los demandantes, se pronunció sobre circunstancias subjetivas que conciernen a los interesados; a saber, que eran conscientes de la ilegalidad de sus actos. La Sentencia entendió que ese elemento subjetivo resultó decisivo en la determinación de la culpabilidad de los demandantes, pues el Tribunal Supremo sí que entendió que hubo intencionalidad por parte de los demandantes sin valorar directamente su testimonio, dato que contradice las conclusiones de la instancia que sí había oído a los acusados y a otros testigos (§§ 41 y 42). El Tribunal Europeo de Derechos Humanos indicó que las cuestiones que debían ser examinadas por el Tribunal Supremo requerían la valoración directa del testimonio de los demandantes. Y habida cuenta de todas las circunstancias del proceso, concluyó que los demandantes fueron privados de su derecho a defenderse en el marco de un debate contradictorio, estimando en consecuencia, violación del derecho a un proceso equitativo garantizado por el artículo 6.1 del Convenio (§§ 45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los criterios expuestos al presente caso permite apreciar la existencia de una vulneración del derecho a un proceso con todas las garantías y del derecho de defensa (art. 24.2 CE). En efecto, vulnera esos derechos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sin celebración de una audiencia pública en que se desarrolle la necesaria actividad probatoria, con las garantías de publicidad, inmediación y contradicción que le son propias; es decir, sin dar al acusado la posibilidad de defenderse exponiendo su testimonio personal. No en vano ya en la STC 126/2012, de 18 de junio, FJ 4, establecimos que el enjuiciamiento sobre la concurrencia de los elementos subjetivos del delito forma parte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las cuales el órgano a quo llega a su conclusión sobre la inexistencia de dolo —u otro elemento subjetivo del tipo— no precisará de la garantía de inmediación, sí deberá venir presidida por la previa audiencia al acusado. O expresada la idea en otras palabras, las cuestiones fácticas exigen audiencia y la decisión sobre si concurre un elemento subjetivo es una cuestión de ese carácter. Solo las cuestiones jurídicas, singularmente decidir la calificación de unos hechos una vez fijada su existencia, pueden abordarse en fase de recurso sin audiencia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así, al margen de cuestiones puramente jurídicas de interpretación del delito penado en el art. 311 del Código penal, como afirman los recurrentes y subraya el ministerio fiscal, en efecto, la apreciación de los requisitos típicos y en particular el subjetivo del dolo de abusar de la situación de necesidad, incluso en la interpretación menos exigente de la que partió la sentencia de apelación con apoyo en las SSTS 247/2017, de 5 de abril, y 639/2017, de 28 de septiembre, posteriores a la STS 494/2016 tomada como referencia en la sentencia de instancia, requería audiencia de los acusados por el delito. Y no se hizo de ese modo, procediéndose por el contrario a la introducción de elementos fácticos nuevos no solo no contemplados en la sentencia recurrida en apelación, sino incluso expresamente descartados como probados en su fundamentación. Tanto que, en contra de lo que concluiría la Sala de apelación, la jueza a quo declaró que “no aparece de manera nítida el abuso de la situación de necesidad entendidos ambos (abuso y situación de necesidad) en los términos que quedan apuntados para convertir el ilícito laboral en delito. Y por ello los acusados deben ser penalmente absueltos, sin que ello se entienda como validación de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oposición a ello, y sin la audiencia personal referida, la Sala afirmó que “atendiendo a la descripción realizada en la sentencia de instancia en la declaración probatoria, los dos empleadores (quienes tienen el dominio del hecho desde la perspectiva de la competencia de gestión de la empresa que contrata) conocen que, prevaliéndose de la situación de necesidad del trabajador, le han impuesto unas condiciones de trabajo que, en lo referido al descanso, suponen una dañina vulneración de lo regulado en el convenio colectivo y el contrato laboral. Y, pese a ello, deciden imponerlas y mantenerlas”. En síntesis, como del contraste de las resoluciones judiciales se desprende sin esfuerzo, no se mantuvo verdaderamente el factum y tampoco se actualizaron esas nuevas inferencias tras reconsiderar el material probatorio con audiencia a los recurrentes, que no tuvieron oportunidad, muy antes al contrario, de hacer valer ante el Tribunal ad quem que finalmente les condenó cuál fue el ánimo que sustentó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cuando el órgano judicial efectuó la inferencia de la intención o ánimo que tenían los recurrentes de llevar a cabo la conducta de naturaleza antijurídica, alcanzando en este punto sus propias conclusiones, contrarias a la juez que tuvo inmediación con la prueba, lo hizo sin ponderar las declaraciones personales de los acusados sobre ello y se introdujo, sin cumplir las garantías constitucionales en la revisión, en una realidad jurídico penal intrínsecamente vinculada con elementos subjetivos del delito, revocando la previa absolución sin cumplir la exigencia de la audiencia personal como garantía específica vinculada al artículo 24.2 CE, pese a que el núcleo de lo debatido afectaba con carácter general a la declaración de inocencia o culpabilidad. Dicho de otro modo, no se trataba de estrictas cuestiones jurídicas sino de un parámetro de índole anímica o interna —la voluntad de llevar a cabo la acción a sabiendas de su ilicitud— determinante de la culpabilidad o de la inocencia. Y siendo subjetivo ese elemento del delito a debate, conforme a la doctrina ya recogida, resultaba obligada la valoración directa de la versión de los demandantes, habida cuenta de que su objeto consiste en posibilitar que quien ha sido absuelto en primera instancia pueda exponer, ante el Tribunal llamado a revisar la decisión impugnada, su testimonio personal sobre su participación en los hechos que se le imputan (en relación con ello, entre otras, SSTEDH de 10 de marzo de 2009, caso Igual Coll c. España, § 27; 21 de septiembre de 2010, caso Marcos Barrios c. España, § 32; 13 de diciembre de 2011, caso Valbuena Redondo c. España, § 29; 20 de marzo de 2012, caso Serrano Contreras c. España, § 31; y, con posterioridad, STEDH de 27 de noviembre de 2012, caso Vilanova Goterris y Llop García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debe considerarse producida la vulneración de los derechos a un proceso con todas las garantías y a la defensa, proclamados por el art. 24.2 CE (STC 88/2013, de 11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además, han alegado que su condena en estas circunstancias ha supuesto una vulneración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en relación con el derecho a la presunción de inocencia, que se configura como el derecho a no ser condenado sin prueba de cargo válida, lo que determina que solo quepa considerar vulnerado este derecho cuando los órganos judiciales hayan sustentado la condena valorando una actividad probatoria lesiva de otros derechos fundamentales o carente de garantías, o cuando no se motive el resultado de dicha valoración, o cuando por ilógico o insuficiente no sea razonable el iter discursivo que conduce de la prueba al hecho probado (por todas, STC 16/2012, de 13 de febrero, FJ 3). Igualmente se ha puesto de manifiesto que el control que le corresponde realizar a este Tribunal sobre la eventual vulneración de este derecho se extiende a verificar si se ha dejado de someter a valoración la versión o la prueba de descargo aportada, exigiéndose ponderar los distintos elementos probatorios (así, STC 104/2011,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señalara el Pleno de este Tribunal en la STC 88/2013, de 11 de abril, FJ 12, y reiterara la STC 125/2017, de 13 de noviembre, FJ 9, “tomando en consideración el contenido del derecho a la presunción de inocencia y la proyección que sobre el mismo puede tener la previa lesión del derecho a un proceso con todas las garantías por una condena en segunda instancia, debe concluirse que, con carácter general, la lesión del derecho a un proceso con todas las garantías —esté vinculado con la valoración de pruebas practicadas sin las debidas garantías o con no haberse dado al acusado la posibilidad de ser oído—, no necesariamente tiene una repercusión inmediata en la vulneración del derecho a la presunción de inocencia. De ese modo, la vulneración del derecho a un proceso con todas las garantías puede llegar a determinar la anulación de la sentencia condenatoria y la retroacción de actuaciones para que el órgano judicial dicte una nueva resolución respetuosa con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como sigue argumentado la citada sentencia, “cuando quede plenamente acreditado con la lectura de las resoluciones judiciales que la condena se ha basado de manera exclusiva o esencial en la valoración o reconsideración de pruebas practicadas sin las debidas garantías, también deberá estimarse vulnerado el derecho a la presunción de inocencia, ya que en tales casos el efecto de exclusión de la valoración judicial de dichas pruebas pondría ya de manifiesto que la inferencia sobre la conclusión condenatoria sería ilógica o no concluyente, consumando de esa manera la lesión del derecho a la presunción de inocencia. De ese modo, en tales casos la vulneración consecutiva de los derechos a un proceso con todas las garantías y a la presunción de inocencia determinaría la anulación de la sentencia condenatoria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decíamos en el fundamento jurídico 5 de la antes citada STC 59/2018 que una conclusión idéntica a la que venimos de transcribir “debe llegarse cuando la parte esencial de la actividad probatoria sobre los elementos subjetivos del delito de que se trate […] no haya sido objeto de consideración por el órgano judicial de revisión con las debidas garantías, dado que, como en esta ocasión acontece, la concurrencia de dicho elemento subjetivo solo podría ser inferida por el órgano judicial de segunda instancia tras escuchar el testimonio de los acusados con publicidad, inmediación y contradicción, pues la ponderación de dichos testimonios es absolutamente esencial para poder inferir de manera concluyente la culpabilidad de los acusados y, muy especialmente, la de su testimonio exculpatorio, habida cuenta de la ya señalada obligación derivada del derecho a la presunción de inocencia de someter a valoración la versión o la prueba de descargo aportada por aquellos”. Y eso es, precisamente, lo que sucede también en el presente caso, aquí respecto del abuso o instrumentalización de la situación de necesidad por parte del empleador para imponer aquellas condiciones laborales, y particularmente, sobre el dolo de prevalerse de ella con ese propósito.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condena en segunda instancia, en la medida en que ha dejado de someter a valoración el testimonio exculpatorio de los acusados, ha vulnerado también el derecho a la presunción de inocencia (en igual sentido, STC 59/2018, FJ 5), toda vez que, tratándose de elementos esenciales del tipo que no han sido apreciados con las debidas garantías, no existe la acreditación precisa que haga viable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 se haya vulnerado a las personas físicas recurrentes sus derechos a un proceso con todas las garantías (art. 24.2 CE) y a la presunción de inocencia (art. 24.2 CE) determina la anulación de la resolución judicial impugnada y la del auto desestimatorio del incidente de nulidad de actuaciones, en tanto que no reparó dichas vulneraciones, con mantenimiento del fallo de la sentencia de instancia, también en lo que alcanza al interés de la sociedad recurrente, en la medida en que, como afirma el ministerio fiscal, la vulneración que apreciamos le produjo efectos de carácter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Ricardo Gómez Noriega, don Adrián Gómez Noriega y Transportes Gómez Noriega,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22 de febrero de 2018, núm. 52/2018, de la Sección Primera de la Audiencia Provincial de Gipuzkoa, así como del auto de 4 de junio de 2018 del mismo órgano judicial, que desestimó el sucesivo incidente de nulidad de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