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130</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28 de octubre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en el recurso de amparo núm. 3094-2019, promovido por Penrei Inversiones, S.L., en autos del Juzgado de Primera Instancia e Instrucción núm. 6 de Lorca,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16 de mayo de 2019, la entidad Penrei Inversiones, S.L., representada por la procuradora de los tribunales doña Blanca Berriatua Horta y bajo la dirección de la letrada doña Nirmala Anju Benavent Rodríguez, interpuso recurso de amparo contra los autos de 17 de septiembre de 2018 y 4 de abril de 2019, dictados por el Juzgado de Primera Instancia e Instrucción núm. 6 de Lorca, en el procedimiento de ejecución hipotecaria núm. 60-2018, por los que, respectivamente, se inadmite por extemporánea la oposición formulada y se confirma esta última decisión tras desestimarse el recurso de reposición interpuesto frente 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relevantes para resolver la pretensión planteada, según se recogen en la demanda,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Juzgado de Primera Instancia e Instrucción núm. 6 de Lorca se sigue procedimiento de ejecución hipotecaria núm. 60-2018 promovido por la entidad Banco de Sabadell, S.A., frente a las sociedades Euroinversiones Inmobiliarias Costa Sur, S.L., en calidad de prestataria e hipotecante, y Penrei Inversiones, S.L., en calidad de titular registral de un derecho de uso y disfrute sobre el inmueble hipotecado.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auto de 29 de mayo de 2018 se acordó despachar ejecución frente las sociedades demandadas por la cantidad de 155.233 € de principal y 24.040 € como intereses y costas presupuestados. El citado auto y el decreto de la misma fecha que le sigue fueron comunicados a las citadas sociedades a través de la sede judicial electrónica el día 30 de mayo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Penrei Inversiones, S.L., presentó escrito de oposición a la ejecución despachada con fecha 24 de julio de 2018. Por auto de 17 de septiembre de 2018 se acordó su inadmisión por considerar la pretensión extemporánea, tomando como fecha de notificación el 30 de mayo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sociedad mercantil recurrente interpuso recurso de reposición contra el auto de inadmisión alegando, en síntesis, que las actuaciones de notificación y requerimiento no habían sido realizadas el día 30 de mayo de 2018 sino el 15 de julio siguiente, fecha en la que accedió a la web y procedió a su descarga, y que la comunicación remitida a través de la dirección electrónica habilitada no puede entenderse más que un aviso de puesta a disposición o descarga de su contenido durante un plazo determinado (en el caso desde el 30 de mayo hasta el 15 de julio 2018), pues entenderlo de otro modo, además de infringir los arts. 135, 152, 160, 162 de la Ley de enjuiciamiento civil (LEC), vulnera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Tras su tramitación, el recurso de reposición fue desestimado por auto de 4 de abril de 2019. Según esta resolución, la recurrente tiene la condición de persona jurídica y, por tanto, está obligada a relacionarse con la administración de justicia por medios electrónicos, de conformidad con lo previsto en la disposición transitoria cuarta de la Ley 42/2015, de 5 de octubre, de reforma de la Ley 1/2000, de 7 de enero, de enjuiciamiento civil, así como en los arts. 14.2 de la Ley 39/2015 y 373.3 LEC. Según el auto, en el presente caso “consta que la notificación se puso a disposición de las recurrentes en fecha 30 de mayo de 2018, no accediendo al contenido hasta el día 15 de julio de 2018 (fuera de los tres días que establece la normativa procesal), presentando los escritos de oposición a la ejecución en fecha 24 de julio de 2018, claramente fuera del plazo legalmente establecido en el art. 556.1 LEC (dentro de los 10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se queja en su recurso de la vulneración de su derecho a la tutela judicial efectiva sin indefensión (art. 24.1 CE) en su vertiente de acceso al proceso. Considera que la interpretación ofrecida en el auto objeto de impugnación, no ha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sólo dirigido al legislador, sino también al interprete, obligándole a promover la defensa mediante la correspondiente contradicción”.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se solicita por medio de otrosí la suspensión del procedimiento de ejecución hipotecaria alegando que la continuación de la ejecución “con la celebración de subasta y la eventual adjudicación a terceros, pueden hacer perder al recurso de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30 de septiembre de 2019 la Sección Primera de este Tribunal acordó admitir a trámite el recurso de amparo y dirigir comunicación al Juzgado de Primera Instancia e Instrucción núm. 6 de Lorca, a fin de que, en el plazo de diez días, remitiera certificación o fotocopia adverada de las actuaciones correspondientes a los autos de ejecución hipotecaria y emplazara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acordó formar la oportuna pieza para la tramitación del incidente de suspensión y, conforme a lo dispuesto en el art. 56 de la Ley Orgánica del Tribunal Constitucional,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el 4 de octubre de 2019 la parte demandante formuló sus alegaciones, reiterando lo dicho en el otrosí de su demanda y trascribiendo como fundamento de su pretensión lo expresado en parte del ATC 287/2013, de 16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en escrito registrado el 15 de octubre de 2019, se opuso a la pretendida suspensión del procedimiento de ejecución hipotecaria, e interesa que, alternativamente, se acuerde la anotación preventiva de la demanda de amparo en el registro de la propiedad, aunque esta última medida no haya sido solicitada en el recurso. Tras exponer la doctrina de este Tribunal sobre suspensión de resoluciones y actos impugnados, aduce que en el presente caso la suspensión no aparece muy fundamentada por la propia parte recurrente, resultando más eficaz la anotación preventiva de la demanda en el registro de la propiedad mediante la que se evitaría que un hipotético tercer adquirente del inmueble hipotecado, en virtud de su buena fe registral, quede especialmente protegido.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o no de la suspensión cautelar instada por la parte recurrente en amparo y dirigida frente al procedimiento de ejecución hipotecaria núm. 60-2018, seguido en el Juzgado de Primera Instancia e Instrucción núm. 6 de Lorca.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de la Ley Orgánica del Tribunal Constitucional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Por esta razón, la pretensión cautelar analizada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la irreparabilidad o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59/2017, de 24 de abril, FJ 1, y 147/2017, de 13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subrayar que una consolidada doctrina constitucional, de la que son buena muestra, entre otros muchos, los AATC 220/2008, de 14 de julio, FJ 2, y 64/2009, de 23 de febrero, FJ 2, o los más recientes AATC 56/2013, de 13 de febrero, FJ 2; 74/2013, de 8 de abril, FJ 2; 152/2013, de 8 de julio, FJ 2; 37/2014, FJ 2; 282/2014, de 17 de noviembre, FJ 4, y 59/2015, de 16 de marzo, FJ 2, ha admitido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aquí planteado de la doctrina a la que se ha hecho mención permite concluir, de acuerdo con lo solicitado por el ministerio fiscal, que resulta improcedente la suspensión solicitada del procedimiento de ejecución hipotecaria y, por el contrario, medida idónea la anotación preventiva de la demanda en el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igual que en procesos de amparo precedentes (ATC 81/2019, de 15 de julio), la parte recurrente se limita a poner de manifiesto, genéricamente, que la eventual adjudicación a terceros puede hacer perder al recurso de amparo su finalidad, sin añadir indicación alguna sobre la situación y circunstancias de la entidad mercantil recurrente así como sobre las características, destino y estado posesorio del inmueble hipotecado. De las actuaciones judiciales que han sido remitidas por el juzgado se desprende que el procedimiento se encontraba en la fase inicial, una vez rechazada la oposición a la ejecución. En tales circunstancias no es posible afirmar que la continuación del curso del procedimiento judicial, incluso si se produjera un desplazamiento posesorio, provoque por sí sola un perjuicio determinante de la perdida de la finalidad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Tribunal entiende que las circunstancias que presenta el supuesto sometido a consideración llevan a estimar la procedencia de acordar, de modo alternativo, la medida cautelar de anotación preventiva de la demanda de amparo en el registro de la propiedad, en cuanto, como se anticipó, se reputa medida suficiente e idónea para evitar el perjuicio derivado de que la adquisición del bien por tercero lo haga irreivindicable.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misma ha sido la solución acogida recientemente, entre otros, en los AATC 106/2017, de 17 de julio; 88/2018, de 17 de septiembre, y 2/2019, de 9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recordar que se trata de una medida cautelar que este Tribunal, de conformidad con el art. 56 LOTC, puede adoptar de oficio o a instancia de parte, con fundamento en el art. 42.1 de la Ley hipotecaria (AATC 274/2002, de 18 de diciembre, 257/2003, de 14 de julio, 230/2007, de 7 de mayo, FJ 3; 415/2007, de 5 de noviembre, FJ 4, y 28/2009, de 26 de enero, FJ 2), y que, de acuerdo con el ATC 95/2015, el FJ 4, “una de cuyas finalidades es que el registro de la propiedad sea fiel trasunto de la realidad jurídica —en este caso, la pendencia del presente proceso constitucional— y, por ende, un eficaz instrumento de seguridad jurídica (ATC 18/2012, de 30 de enero, FJ 4; en la misma línea, AATC 282/2014, de 17 de noviembre, FJ 5; 29/2015, de 16 de febrero, FFJJ 3 y 4; 50/2015, de 2 de marzo, FJ 4, y 59/2015, de 16 de marzo, FJ 3)”. Nuestra decisión en esta materia al ordenar que se practique la anotación preventiva, remite al órgano judicial la práctica de las actuaciones pertinentes para que pueda llevarse a efecto la medida, de conformidad con la legislación procesal e hipotecaria (AATC 257/2003, de 14 de julio; 406/2003, de 15 de diciembre; 230/2007, de 7 de mayo, FJ 3, y 415/2007, de 5 de noviembre, FJ 4, y 217/2012, de 26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anteriores, de conformidad con la doctrina expuesta, y sin prejuzgar la decisión de fondo del recurso, conducen a denegar la suspensión solicitada, y, alternativamente, a ordenar la anotación preventiva de la demanda de amparo en el registro de la propiedad.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suspensión cautelar solicitada del procedimiento de ejecución hipotecaria núm. 60-2018, seguido en el Juzgado de Primera Instancia e Instrucción núm. 6 de Lorca.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octubre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