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146</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25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Alfredo Montoya Melgar, don Cándido Conde-Pumpido Tourón y la magistrada doña María Luisa Balaguer Callejón, en el recurso de amparo núm. 5328-2012,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septiembre de 2012, la procuradora de los tribunales doña Margarita López Jiménez, en nombre y representación de don Tomás Quevedo Moreno Arrones, y bajo la dirección de la letrada doña Ana Fernández Jiménez, interpuso demanda de amparo contra el auto de la Sección Cuarta de la Sala de lo Contencioso-Administrativo del Tribunal Supremo dictado el 4 de julio de 2012, en el recurso de casación núm. 4357-2010; la sentencia de 21 de mayo de 2012 dictada por la misma Sección; y la sentencia dictada por la Sección Tercera de la Sala de lo Contencioso-Administrativo de la Audiencia Nacional de 20 de mayo de 2010, recaída en el procedimiento ordinario núm. 997-2008.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noviembre de 2019, el magistrado Excmo. Sr. don Santiago Martínez-Vares García manifestó su voluntad de abstenerse en el presente recurso de amparo y todas sus incidencias, por entender que concurría la causa establecida en el artículo 219.11 de la Ley Orgánica del Poder Judicial, supletoria de la Ley Orgánica 2/1979 (artículo 80), al haber intervenido en instancia anterior, toda vez que formó parte en su condición de magistrado de la Sección Cuarta de la Sala Tercera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Santiago Martínez-Vares García, magistrado de este Tribunal, en virtud de lo previsto en el art.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Santiago Martínez-Vares García en el recurso de amparo núm. 5328-2012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