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4795-2017, promovido por don Alfredo Ballesteros Ainsa,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noviembre de 2018, la procuradora de los tribunales doña Patricia Gómez Martínez, en nombre y representación de don Alfredo Ballesteros Ainsa, y bajo la dirección del letrado don Julio de Santa Ana Campillo, interpuso recurso de amparo contra el auto del Juzgado de Primera Instancia núm. 14 de Sevilla de 27 de julio de 2017, por el que se inadmite el incidente de nulidad de actuaciones interpuesto contra el auto de 1 de junio de 2017, por el que se acuerda mantener la resolución de la Comisión de Asistencia Jurídica Gratuita denegando el reconocimiento del derecho a la asistencia jurídica gratuita en el procedimiento de impugnación 189-2017.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del auto judicial impugnado “a fin de impedir la efectividad de la pretensión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19 de diciembre de 2019, presentó alegaciones interesando que se deniegue la suspensión, ya que el demandante no solo no aporta un principio razonable de prueba del presunto perjuicio irreparable sino que solicita la suspensión sin explicitar ninguna razón de los eventuales perjuicios que le produciría la no suspensión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10 de diciembre de 2019, presentó alegaciones reiterando su solicitud de suspensión, insistiendo en la irreparabilidad de los derechos fundamentales afectados pues “se sigue perpetuando la injusticia manifestada objeto del amparo”, que el amparo perdería así su finalidad y que la suspensión no va a producir perturbaciones graves.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consistente en que se suspenda la ejecución de una decisión judicial por la que se confirma la denegación del derecho de asistencia jurídica gratuita fundamentada en la insostenibilidad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no suspensión de la decisión judicial de confirmar la denegación del derecho a la asistencia jurídica gratuita por insostenibilidad de la pretensión le causaría un perjuicio irreparable al seguirse perpetuando la lesión del derecho fundamental invocado, pero, sin añadir ninguna otra consideración sobre la eventual afectación a cualquier otro interés personal que pudiera estar ventilándose en el procedimiento judicial subyacente. En tales circunstancias, no es posible afirmar que el mantenimiento de la situación de denegación del derecho de asistencia gratuita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suspensión de la decisión judicial impugnada implicaría el reconocimiento del derecho a la asistencia jurídica gratuita, lo que, por su propia naturaleza, supondría no solo un otorgamiento anticipado del recurso de amparo, contrario a reiterada jurisprudencia constitucional (ATC 55/2019, de 3 de junio, FJ 2); sino desconocer elementales exigencias de subsidiariedad ya que, en atención a las vulneraciones alegadas, que quedan limitadas a garantías procedimentales en el proceso de reconocimiento de este derecho a la asistencia jurídica gratuita, pero no a sus requisitos sustantivos, incluso una eventual estimación del amparo tendría como único efecto, tal como ha solicitado el demandante, la retroacción de las actuaciones para un nuevo pronunciamiento sobre el reconocimiento de ese derecho, pero no el reconocimiento directo del derecho a la asistencia jurídica gratuita, que es lo que se pretende obtener en esta pieza de suspensión por parte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