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3547-2019, promovido por Euroinversiones Inmobiliarias Costa Sur, S.L., en el procedimiento de ejecución hipotecaria núm. 353-2018,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353-2018, en fechas 21 de septiembre de 2018 y 23 de abril de 2019, por los que, respectivamente, se inadmite por extemporánea la oposición a la ejecución hipotecaria formulada por la recurrente y se desestima el recurso de reposición interpuesto contra la primera de las resoluciones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 considerar que “la continuación de la ejecución derivada de los pronunciamiento judiciales que han sido objeto de impugnación, con la celebración de subasta y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noviembre de 2019, la Sección Tercera de este Tribunal acordó admitir a trámite el recurso de amparo y, a su vez, dirigir comunicación al Juzgado de Primera Instancia e Instrucción núm. 5 de Lorca, a fin de que, en el plazo de diez días, remitiera certificación o fotocopia adverada de las actuaciones correspondientes a los autos de ejecución hipotecaria núm. 353-2018 y emplazara a quienes hubieran sido parte en el proceso del que trae causa el presente recurso de amparo, excepto a la parte recurrente en amparo, para que pudieran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la referida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7 de diciembre de 2019, la parte demandante formuló sus alegaciones, en el cual reitera lo interesado en el otrosí de su demanda, con sustento en el ATC 287/2013, de 16 de diciembre, cuyo contenido parcialmente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17 de diciembre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la finalidad a que se refiere. Además, el fiscal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353-2018,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ni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 así como en el ATC 85/2019, de 15 de julio, a propósito de otro procedimiento hipotecario seguido ante el Juzgado núm. 3 de Lorca, en el que se plantearon los mismos argumentos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en su lugar,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353-2018,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