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24 de febrero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5010-2017, promovido por don A. H. L., contra el auto del Juzgado Central de Instrucción núm. 4 de 20 de junio de 2017, que desestimó la solicitud de modificación de anotación registral de prohibición de disponer de una finca, y contra el auto de la Sección Cuarta de la Audiencia Nacional, de 31 de julio de 2017, que confirmó el anterior. Ha intervenido el ministerio fiscal. Ha sido ponente la magistrada doña Encarna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13 de octubre de 2017, doña Virginia Aragón Segura, procuradora de los tribunales, en nombre y representación de don A. H. L., defendido por el letrado don Manuel Ollé Sesé,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las diligencias previas 38-2014 seguidas en el Juzgado Central de Instrucción núm. 4 estaban siendo investigados unos hechos que pudieran ser constitutivos de delitos de organización criminal (arts. 570 bis y ss. del Código penal: CP), fraude a la hacienda pública (arts. 305 y ss. CP), blanqueo de capitales (arts. 301 y ss. CP), relativos a la prostitución (arts. 187 y ss. CP), contra los derechos de los trabajadores (arts. 311 y ss. CP) y otras actividades delictivas conexas. En su seno, el auto de 29 de junio de 2015 acordó, como cautela real, una prohibición de disponer de los bienes de que fueran titulares, por sí o por persona interpuesta, las personas que se relacionan (entre ellas el recurrente en amparo), y que se extendiera en los respectivos registros de la propiedad anotación preventiva de prohibición de disponer de tales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en sus antecedentes de hecho que “[t]al y como se desprende del informe elaborado por la Policía Judicial […], el embargo de estos inmuebles no lo es tanto para asegurar la responsabilidad económica, sino que se realiza por ser considerados como efectos procedentes de los delitos contra la Hacienda Pública y de blanqueo de dinero, como objeto en sí de dicho blanqueo, por lo que no se hace precisa la mención a cantidad alguna. No se trata, por ello, del embargo al que se refiere la circunstancia tercera del art. 166, del Reglamento Hipotecario, sino de la circunstancia cuarta, in fine, de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fundamenta en que las medidas cautelares reales se regulan, en el procedimiento abreviado, en el art. 764 de la Ley de enjuiciamiento criminal (LECrim) y transcribe sus apartados primero (“el juez o tribunal podrá adoptar medidas cautelares para el aseguramiento de las responsabilidades pecuniarias, incluidas las costas”) y segundo (“a estos efectos se aplicarán las normas sobre contenido, presupuestos y caución sustitutoria de las medidas cautelares establecidas en la Ley de Enjuiciamiento Civil”). Precisa que esta remisión debe entenderse hecha al art. 727 de la Ley de enjuiciamiento civil (LEC), del que resultan de interés, a los efectos que nos interesan, las medidas cautelares quinta (“la anotación preventiva de demanda, cuando esta se refiera a bienes o derechos susceptibles de inscripción en registros públicos”) y sexta (“otras anotaciones registrales, en casos en que la publicidad registral sea útil para el buen fin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además, que “en el caso que nos ocupa, las medidas cautelares encuentran su legitimación en la naturaleza de los delitos investigados, por cuanto los delitos contra la Hacienda Pública, el de blanqueo de dinero y el de organización criminal tienen como base y efecto el uso y abuso de los bienes, resultando los mismos efectos delictivos cuando no son el propio cuerpo del delito. En base en las diligencias hasta la fecha practicadas, se desprenden indicios de que las personas relacionadas en el escrito de la policía judicial, tanto físicas como jurídicas, habrían podido participar en los hechos enjuiciados, procediendo a lucrarse mediante las actividades ilícitas objeto de investigación en la presente causa. Por todo ello, entiende el órgano jurisdiccional que, además de […] garantizar las responsabilidades pecuniarias que […] se pudieran llegar a declarar, la medida que se adopta responde a la incautación de los efectos del delito”. Expone, en fin, que la prohibición de disponer debe proyectarse sobre bienes cuyo titular registral sea persona distinta de aquella contra quien se dirige el procedimiento si a juicio del juez existen “indicios racionales de que el verdadero titular de los mismos es el encausado, haciéndolo constar así en el mandamiento” (art. 20 de la Ley hipotecaria: LH).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dispositiva ordena que se libre “mandamiento a distintos registros de la propiedad (que se relacionan) a fin de que se practique anotación marginal de prohibición de vender, gravar, obligar o enajenar los derechos de propiedad que en último término ostenten sobre los mismos las personas físicas y jurídicas que en cada caso se mencionan (entre ellas, el recurrente en amparo y alguna mercantil de la que este era administrador)”. Ordena también que se haga constar en el mandamiento que, respecto de las fincas relacionadas en el fallo cuya titularidad aparece atribuida a un tercero, ha de extenderse la anotación si se dan las condiciones previstas en el art. 20 LH, “lo que en el supuesto es así, respecto de los imputados A.H.L. [que es el recurrente en amparo] y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idéntica fecha se libró mandamiento judicial al Registro de la Propiedad núm. 5 de Alicante. En él (i) se identifican las diligencias previas y los delitos por los que se siguen; (ii) se alude al auto en el que se acuerda librar el mandamiento, con indicación de su objeto (“1. Finca: 1646 de Mutxamel. Libro 280. Folio: 214. Número de Idufir: 030224000005329. Referencia catastral: 03090A011000230000GB”) y de su fin que se practique anotación marginal de prohibición de vender, gravar, obligar o enajenar los derechos de propiedad que en último término ostenten sobre el mismo la mercantil Caned Madrid, S.L.”; (iii) se precisa que, “habida cuenta el secreto de las actuaciones de las que este mandamiento dimana, se transcribe solo su parte dispositiva” y, en fin, (iv) se expone el contenido del art. 20 LH y se justifica por que concurren tales requisitos en relación con la mercantil Caned Madrid,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información registral obrante en el expediente, que en base al interés legítimo de investigación jurídico-económica sobre crédito y solvencia se había emitido a favor de un tercero el 17 de febrero de 2017, atestigua que la anotación registral ordenada por el referido mandamiento se hizo constar en los siguientes términos: “anotación preventiva de vender, gravar, obligar o enajenar los derechos de propiedad que ostenta la mercantil ‘Caned Madrid, S.L.’ sobre esta finca, en virtud de mandamiento librado por el Juzgado Central de Instrucción núm. 4 de la Audiencia Nacional, de fecha 29 de junio de 2015, en diligencias previas procedimiento abreviado 38-2014, pieza separada investigación patrimonial inmuebles 2, por presuntos delitos de pertenencia a organización criminal, fraude a la hacienda pública, relativos a la prostitución, blanqueo de capitales y otras actividades delictivas conexas habiéndose acordado por auto de 29 de junio de 2015. Consta de la anotación letra B de fecha 16 de julio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información registral emitida a favor de un tercero muestra que en el registro consta, con acceso a terceros en virtud de la publicidad registral, que Caned Madrid, S.L., es desde el 20 de noviembre de 2009 titular del pleno dominio de la finca y que esta fue “adquirida por aportación”. Consta igualmente, como notas I), II), y III), que en varias fechas de 2004 se dispusieron ciertas vinculaciones de la finca que don A.H.L., ostentaba en su condición de “titular del pleno dominio de esta finca” en aquellas fechas.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16 de mayo de 2017, la representación procesal del recurrente en amparo instó al Juzgado Central de Instrucción núm. 4 a (i) librar mandamiento al Registro de la Propiedad núm. 5 de Alicante “a efectos de modificar la anotación preventiva [de prohibición de disponer] que pesa sobre la finca 1646 de Mutxamel, titularidad de Caned Madrid, S.L., de la que mi representado es administrador solidario, ordenando que se suprima [la mención a los delitos que motivan el procedimiento]” y a (ii) autorizar el arrendamiento de dicha finca.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primera solicitud, hacía valer los siguientes argumentos: (i) que según la información registral emitida a favor de un tercero el 17 de febrero de 2017, que acompaña como documento núm. 1, la anotación de prohibición de disponer ordenada por el auto de 29 de junio de 2015 se extendió en el registro con mención de los delitos por los que se seguía el procedimiento penal; (ii) que la finalidad de dicha anotación “radica en evitar la distracción del bien inmueble por parte de los sujetos investigados de un procedimiento penal […] Por tanto, deberá hacerse constar el órgano judicial y el procedimiento al que está afecto, al menos provisionalmente, y el bien inmueble sobre el que se acuerda la medida cautelar real”; (iii) que “el contenido de la nota simple registral de la finca de Mutxamel se excede, por tanto, del contenido que deben incluir dichas anotaciones, al establecer un extenso elenco de delitos”, lo que “colisiona frontalmente con los derechos constitucionales al honor y a la presunción de inocencia que asisten a mi representado”, apuntando que este es el administrador de Caned Madrid,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Central de Instrucción núm. 4 dictó auto de 20 de junio de 2017, que autorizó el arrendamiento de la finca. Respecto a la otra solicitud, afirmó que “las circunstancias que contiene el mandamiento judicial que la parte pretende su modificación se ajustan a lo dispuesto en los artículos 72 y 73 de la Ley Hipotecaria y 166 de su Reglamento” y, por ello, que “este Juzgado no puede acceder a la pretensión de la parte de modificar el contenido del mandamiento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26 de junio de 2017 se interpuso recurso de apelación ante la Audiencia Nacional. Se razona que no es al auto de 29 de junio de 2015, ni al consecuente mandamiento judicial, a los que se imputa el exceso de contenido que resulta lesivo de derechos fundamentales, sino a la anotación preventiva extendida en su cumplimiento, cuyo contenido fue conocido en virtud de la información registral emitida a favor de un tercero ya referida. Se reitera que este exceso, que se apoya en las mismas razones que en la instancia previa y además en la reserva de las diligencias de investigación penal ex art. 301 de la Ley de enjuiciamiento criminal (LECrim), colisiona con los derechos del recurrente en amparo al honor y a la presunción de inocencia. Se añade en este recurso de apelación que, por el mismo motivo, también se vulnera el derecho a la intimidad. Se termina solicitando que se libre mandamiento al Registro de la Propiedad núm. 5 de Alicante “a efectos de modificar la anotación preventiva” en los términos que se había pedido en la instancia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recurso fue desestimado mediante auto de la Sección Cuarta de la Sala de lo Penal de la Audiencia Nacional, de 31 de julio de 2017. Rechaza las alegaciones “no porque se desconozcan las razones alegadas, sino por otros motivos. El primero de ellos es la imposibilidad de modificar una resolución judicial en la que se acuerda librar el mandamiento impugnado una vez transcurrido dos años desde que se acordara. La segunda razón alegada en el recurso y aplicable al caso es que, ciertamente, de acuerdo con la ley hipotecaria no era necesaria la consignación en el mandamiento los delitos atribuidos a los investigados, sino la causa de la anotación, esto es, el motivo legal por el que se acuerda la prohibición de disponer, pero reconociendo lo anterior, debe precisarse que, de acuerdo con esa misma normativa hipotecaria, la mención de los delitos que interesa sean suprimidos solo constarían en relación a la petición que hiciera el propio peticionario y no con respecto a terceros, para los que es suficiente se indique la existencia de un procedimiento penal sin necesidad de mencionar los delitos en cuestión; razones por las que, aun entendiendo la protección a la intimidad alegada por el recurrente, no son suficientes para dejar sin efecto el mandamiento librado en el año 2015 al Registro de la Propiedad núm. 5 de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frente a las resoluciones judiciales impugnadas, “la vulneración del derecho a la tutela judicial efectiva, en relación al derecho a la presunción de inocencia, al honor y a la intimidad (artículos 24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Apoya esta invocación en que “la finalidad de la anotación preventiva radica en evitar la distracción del bien inmueble por parte de los sujetos investigados en el procedimiento penal seguido ante el Juzgado instructor [...]” y en que “la eficacia de la inscripción registral y sus efectos, como medida cautelar real, se garantiza sin necesidad de mencionar los tipos de injusto por los que mi representado es objeto de investigación en el reiterado Juzgado de Instrucción”. Por tanto, en su opinión, “bastará con incluir los datos del juzgado y el procedimiento del que dimana dicha anotación”. Para sostener que la mención del elenco de delitos en la anotación de prohibición de disponer constituye un exceso, alega que el art. 301 LECrim afirma que las diligencias del sumario “no tendrán carácter público hasta que se abra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de otro lado, que “con la publicidad de la inscripción de esos delitos en un registro público se lesiona[n] […] los derechos a la tutela judicial, a la intimidad y al honor de mi representado”, aparte de la presunción de inocencia “porque, en fase de instrucción, cualquier persona sometida a un proceso penal goza de [ese derecho]”. Termina la demanda de amparo señalando que “en consecuencia, debe declararse la vulneración del tutela judicial efectiva, en relación con el derecho a la presunción de inocencia, el derecho al honor y a la intimidad, ante la actitud de los órganos judiciales que, debiendo cerciorarse de que el contenido de la nota simple registral concuerda con la finalidad de la medida adoptada, y se ajusta al contenido de las previsiones legales existentes, se han negado a librar los oportunos mandamientos al registro de la propiedad, pese a la solicitud del hoy demandante de amparo, para restablecer a este en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 la Sección Tercera de este Tribunal, de 8 de enero de 2018, se acordó antes de entrar a resolver sobre la admisibilidad del recurso, “dirigir atenta comunicación a la Sección Cuarta de la Sala de lo Penal de la Audiencia Nacional a fin de que, a la mayor brevedad posible, se remita a esta Sala certificación o fotocopia adverada de las actuaciones correspondientes a la pieza separada de responsabilidad civil y/o de cautelares reales en relación al recurrente con Caned Madrid, S.L., del rollo 412-2017”. Tal requerimiento se cumplimentó mediante oficio remitido por la letrada de la administración de justicia de la Sección Cuarta de la Sala de lo Penal de la Audiencia Nacional, de 26 de enero de 2018, registrado en este Tribunal Constitucional el 30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Sección Tercera de este Tribunal, de 7 de febrero de 2018, se acordó “líbrese oficio al Juzgado Central de Instrucción núm. 4, a fin de que remitan testimonio íntegro de la pieza de responsabilidad civil y/o cautelares reales en relación con don A.H.L. y Caned Madrid, S.L., en el procedimiento diligencias previas núm. 38-2014”. Dicho requerimiento se cumplimentó mediante oficio remitido por el letrado de la administración de justicia del referido juzgado central, de 8 de marzo de 2018, registrado en este Tribunal el 13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 de octubre de 2018, la Sección Tercera de la Sala Segunda de este Tribunal dictó providencia admitiendo a trámite la demanda de amparo, “apreciando que concurre en el mismo una especial trascendencia constitucional (art. 50.1 de la Ley Orgánica del Tribunal Constitucional) porque el recurso plantea un problema o afecta a una faceta de un derecho fundamental sobre el que no hay doctrina de este Tribunal [STC 155/2009, FJ 2 a)]”. Asimismo, y dado que ya obraba en este Tribunal testimonio de las actuaciones remitidas por la Sala de lo Penal, Sección Cuarta, de la Audiencia Nacional y el Juzgado Central de Instrucción núm. 4, se dirigió atenta comunicación al juzgado a quo con el único fin de que procediera a emplazar a quienes hubiesen sido parte en dicho procedimiento, excepto al recurrente en amparo, para que tuvieran conocimiento del presente proceso constitucional y en su caso comparecer en él, si así lo deseasen,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secretaría de justicia de la Sala Segunda de este Tribunal, dictó diligencia de ordenación el 4 de enero de 2019 acordando “dar vista de las actuaciones recibidas a las partes personadas y al Ministerio Fiscal por plazo común de veinte días, dentro de los cuales podrán presentar las alegaciones que estimen pertinentes, conforme determina el artículo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que se le tuvo por personado en virtud de la anteriormente referida diligencia de ordenación de 4 de enero de 2019, presentó su escrito de alegaciones el 5 de febrero de 2019, instando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primer argumento es que el art. 20 LH impone que el criterio judicial de que, si según indicios racionales, el verdadero titular de los bienes que constan en el registro a nombre de terceros es el encausado, debe hacerse constar en el mandamiento. Y que coherentemente con ello, el auto de 29 de junio de 2015 ordenaba que así se hiciera constar en el mandamiento de la misma fecha dirigido al registro de la propiedad núm. 5 de Alicante. Acordada la medida cautelar real, el recurrente en amparo, al solicitar la rectificación del asiento registral, estaba instando una modificación de dicha medida cautelar, pero no exponía ningún cambio de circunstancias, elemento que es imprescindible en cualquier modificación de medidas cautelares.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que, de acogerse, como el recurrente sostiene, que la medida cautelar de constancia registral del procedimiento que se seguía contra él vulneraba la presunción de inocencia, el honor y la intimidad, no sería posible adoptar ninguna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matiza su argumento, partiendo del reconocimiento de que el recurrente no se queja de la medida cautelar de constancia registral sino de que ciertos datos se contengan en el asiento registral. De acuerdo con este planteamiento más matizado, expone que, a su juicio, la inclusión en el asiento registral del elenco de delitos que motivan el procedimiento está justificada (i) porque se alude a ellos como presuntos; (ii) porque la causa que da lugar a la inscripción (art. 72 LH) “abarca los delitos que se imputan”, precisando además que “forman parte de los antecedentes justificativos acerca de por qué el órgano jurisdiccional de instrucción ha dispuesto el embargo o medida preventiva de aseguramiento” y, en fin, (iii) porque “resulta más explicativo para el registrador destinatario del mandamiento expedido por el juez […] (tengamos en cuenta que el registrado podría, tras la oportuna calificación, denegar la extensión del asiento…)”. Cita en este último sentido el art. 100 del Reglamento hipotecario (RH), según el que la calificación del registrador alcanza a la congruencia del mandato con el procedimiento en que se hubiere dictado, y el art. 165 RH, según el que toda anotación preventiva que haya de practicarse por mandato judicial se verificará en virtud de presentación en el registro del mandamiento judicial, en el que se insertará literalmente la resolución respectiva.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también que la publicidad registral conforme a la ley de que una persona es objeto de un procedimiento de persecución de un delito no vulnera ni su presunción de inocencia, ni su derecho al honor y a la intimidad. De otro modo, no solo la constancia registral de una medida cautelar produciría este efecto, sino también el ejercicio mismo de la acción pública por el fiscal o la sola incoación de diligencia de instrucción por razón de presuntas conductas delictivas.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por otra parte, que la reserva ex art. 301 LECrim “es un precepto establecido en aras de la protección y mejor llevanza de la actividad de instrucción”, por lo que “despliega sus efectos ordenadores en un plano distinto”, no siendo por tanto incompatible con él la publicidad registral legalmente prevista en favor de terceros de ciertos elementos de la diligencias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por último, que “no cabe tampoco entender que exista una lesión de un derecho fundamental si la autoridad pública […] actúa conforme la ley le permite […] Lo contrario sería tanto como dotar a los derechos fundamentales de un carácter absoluto o ilimitado, que ya sabemos que la jurisprudencia constitucional niega por principio. Como dijo la STC 292/2000, ‘la primera constatación que debe hacerse, que no por evidente es menos capital, es que la Constitución ha querido que la ley, y solo la ley, pueda fijar los límites a un derecho fundamental’”. Aduce al efecto que la ley conforme a la que actuó el magistrado hace prevalecer, sobre los derechos fundamentales invocados por el recurrente, “la eficacia misma de la normativa penal y de la prevención de delitos, y [la] garantía de la eventuales responsabilidades que de ellos puedan derivarse; [y] la protección y posible indemnidad de quienes hayan podido resultar perjudicados por las presuntas actuaciones delictivas”. Y que esta legislación, al limitar de este modo los derechos fundamentales del recurrente a la presunción de inocencia y al honor, no los constriñe en su núcleo esencial, “en tanto que la justificabilidad de las medidas de garantía patrimonial que el ordenamiento prevé se halla patente” y “pues si se mencionan las eventuales conductas delictivas se hace siempre como presuntas”.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6 de febrero de 2019, el representante procesal del recurrente en amparo presentó su escrito de alegaciones. Pidió que se tuvieran por reproducidas las formuladas en su demanda y que, en su virtud, se le otorgase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presentó su escrito de alegaciones el 8 de febrero de 2019, interesando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recurso se estructura en un único motivo, el fiscal considera que en él se contienen varias alegaciones autónomas. La primera es que se habría vulnerado el derecho a la tutela judicial efectiva (art. 24.1 CE) porque la motivación sería arbitraria o ilógica (STC 133/2013, de 5 de junio). Esta alegación, en su opinión, debe entenderse referida a las dos resoluciones judiciales impugnadas, por lo que la ausencia de incidente de nulidad de actuaciones contra la última de ellas no conllevaría falta de agotamiento de la vía judicial previa. El razonamiento del juzgado central según el cual el contenido del mandamiento se ajusta a la legislación hipotecaria) es ilógico porque lo que se pide es que se modifique la anotación registral, no porque el mandamiento judicial contenga incorrecciones, sino porque aquella no ha sido plasmada correctamente en el registro. El inicial motivo invocado por la Audiencia Nacional —no cabe modificar el mandamiento impugnado porque ya transcurrieron dos años desde que se acordara— resultaría ilógico porque la pretensión no es la modificación de dicho mandamiento, sino que se altere la anotación registral por entender que no traslada aquel correctamente al registro, para lo cual se insta del órgano judicial un nuevo mandamiento. El segundo motivo acogido por la Audiencia Nacional —la mención de los delitos que interesa sean suprimidos solo constarían en relación a la petición que hiciera el propio peticionario y no con respecto a terceros— también sería ilógico porque los arts. 222, 229, 232 y 235 LH y los arts. 332 y 336 RH “prevén la publicidad literal y además porque se demuestra que no es así en la práctica, pues en la nota simple registral que se aporta como base de la petición constan los delitos por los que se sigue la causa y aparece solicitada por un tercero, a efectos de investigar la solvencia para lo cual evidentemente era innecesario facilitar ese dato, pero al tratarse de una nota literal sí que aparecieron esos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fiscal considera que esta equivocación que el recurrente alega en relación con las dos resoluciones judiciales impugnadas, consistente en que resuelven acerca de la corrección del mandamiento judicial cuando la cuestión planteada por el recurrente era otra y venía referida a la corrección de la anotación registral, constituye un supuesto de incongruencia lesiva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en tercer lugar, analiza si las dos resoluciones recurridas “vulneran la tutela judicial efectiva porque no han reparado la vulneración de los derechos fundamentales a la presunción de inocencia, al honor y a la intimidad”. Afirma “la innecesariedad de hacer constar los delitos por los que se sigue la causa […] en la nota marginal [porque] para la constancia en el registro de las limitaciones al derecho de propiedad establecidas en el mandamiento, a los efectos de dar publicidad a las mismas, […] es indiferente el delito o delitos por los que se sigan las diligencias previas”. Añade, también para sostener tal innecesariedad, que ni en los arts. 72 y 23 LH, ni en el art. 166 RH, se contiene ninguna referencia a la anotación de los delitos por los que se siga la causa penal. Además, del art. 51 RH se desprende la regla general de que en las inscripciones registrales no cabe hacer “constar datos que no tengan transcendencia para los derechos reales que se inscriben, como es el caso de los delitos por los que se sigue la causa en la que se ordena la anotación marginal”. Por último, el fiscal recuerda que el art. 301 LECrim prevé el carácter secreto del sumario, de donde resulta, a su juicio, que “dar publicidad innecesaria a cualquier dato del sumario, aunque no vulnere directamente este precepto, va en contra de la idea que lo inspira”.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este presupuesto, es decir, la innecesaria mención de delitos en la nota registral, examina si hay lesión de los referidos derechos fundamentales. Dice de la presunción de inocencia que este derecho es compatible con las medidas cautelares (SSTC 108/1984 y 156/1997) y, de otro lado, que la STC 133/2018, según repetida doctrina constitucional, admite una vertiente extraprocesal de la presunción de inocencia, que consiste en “el derecho a recibir la consideración y el trato de no autor o no partícipe en hechos de carácter delictivo o análogo a estos sin previa resolución dictada por el poder público u órgano competente que así lo declare, y determina por ende el derecho a que no se apliquen las consecuencias o los efectos jurídicos anudados a hechos de tal naturaleza en las relaciones jurídicas de todo tipo (SSTC 109/1986, de 24 de septiembre, FJ 1; 283/1994, de 24 de octubre, FJ 2; 166/1995, de 20 de noviembre, FJ 3, y 244/2007, de 10 de diciembre, FJ 2)”. Invoca también la STC 133/2018 para sostener que la dimensión extraprocesal de la presunción de inocencia, que es la procedente en este caso, halla “específica protección en nuestro sistema de derechos fundamentales a través o por medio de la tutela del derecho al honor”, remitiéndose al examen de este otro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derecho al honor, el fiscal considera de aplicación la doctrina establecida en la STC 58/2018 cuando dice que “tratándose de personas privadas, incluso cuando la noticia por la materia a que se refiere concierne al interés público, no queda protegido por la libertad de información todo su contenido, sino que cabe reputar desproporcionada la transmisión de aquellos hechos que, dentro de la noticia, afectan al honor o a la intimidad de la persona concernida y que se revelen como ‘manifiestamente innecesarios e irrelevantes para el interés público de la información’ (SSTC 105/1990, de 6 de junio, FJ 8, y 121/2002, de 20 de mayo, FJ 5)”. El fiscal entiende que, al igual que una parte de una noticia puede afectar al derecho al honor cuando es innecesaria para la finalidad de informar, una parte de un asiento registral puede también lesionar el derecho al honor cuando resulta innecesaria para los objetivos a que sirve la publicidad registral, esto es, “para el interés público (de tercero) en los derechos inscritos, o dicho de otro modo para la finalidad de la información registral”. Afirma que en este caso la parte innecesaria de la anotación registral, al dar cuenta con acceso a terceros en virtud de la publicidad registral de que una persona está siendo investigada por una serie de delitos, resulta perjudicial para su honor porque le desmerece en la consideración ajena, invocando en apoyo de este criterio las SSTC, 144/1999, 52/2002, 14/2003 y 58/2008.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no obstante, que no es el demandante de amparo, sino Caned Madrid, S.L., quien aparece mencionado en la anotación preventiva y también quien consta como titular actual de la finca registral sobre la que pesa la anotación. Sin embargo, en opinión del fiscal hay elementos en la publicidad registral que permiten a los terceros que accedan al registro vincular al recurrente con la mercantil Caned Madrid, S.L. En la inscripción registral consta —concretamente en las notas I, II y III— que don A. H. L. era el anterior titular de la finca registral, y también consta que la adquisición por el actual titular se hizo por aportación, datos de los que “se deduce que el anterior titular pasó a ser miembro de dicha sociedad”. Además, cualquier persona que vaya a tener una relación comercial con Caned Madrid, S.L., conocerá, porque así constará en el registro mercantil, que don A. H. L. es administrador solidario de dicha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el fiscal que “al no corregirse en la resoluciones recurridas, se habría producido la alegada vulneración del derecho a la tutela judicial efectiva en relación con la presunción de inocencia y el derecho al honor”. No así la lesión del derecho a la intimidad, pues “los datos innecesarios que constan en el registro de la propiedad son genéricos, […] no se trata aquí de haber desvelado aspectos de la vida íntima del demandante, ni se han conseguido los datos a través de medios invasivos de su intimidad, ni se ha obtenido ilícitamente información de bases de datos que contengan datos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20 de febrero de 2010,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Identificación del objeto del proceso y argumentos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proceso de amparo se dirige contra las resoluciones judiciales que no accedieron a la solicitud del recurrente de que se ordenase al Registro de la Propiedad núm. 5 de Alicante que la anotación de prohibición de disponer que pesaba sobre un inmueble registrado a nombre de Caned Madrid, S.L., acordada como medida cautelar real en las diligencias previas 38-2014 del Juzgado Central de Instrucción núm. 4, fuese alterada para suprimir la mención de los delitos por los que el recurrente, socio y administrador solidario de la citada mercantil, estaba siendo investigado en dicho procedimiento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resoluciones son el auto de 20 de junio de 2017 de dicho juzgado central, que rechazó la referida petición porque “las circunstancias que contiene el mandamiento judicial que la parte pretende su modificación se ajustan a lo dispuesto en los arts. 72 y 73 LH y 166 RH”, y el auto de 31 de julio de 2017 de la Sección Cuarta de la Sala de lo Penal de la Audiencia Nacional, que confirmó aquel. Este segundo auto funda la desestimación en “la imposibilidad de modificar una resolución judicial en la que se acuerda librar el mandamiento impugnado una vez transcurrido dos años desde que se acordara”, así como en que, de acuerdo con la normativa hipotecaria, “la mención de los delitos que interesa sean suprimidos solo constarían en relación a la petición que hiciera el propio peticionario y no con respecto a terceros, para los que es suficiente se indique la existencia de un procedimiento penal sin necesidad de mencionar los delitos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no objeta, ni lo ha hecho en la vía previa a este recurso de amparo, la adopción de la medida cautelar real (auto de 29 de junio de 2015), ni tampoco el mandamiento judicial subsiguiente de la misma fecha. Es a la anotación registral a la que imputa ahora, como también hizo en la vía judicial previa, un exceso de contenido. A su juicio, bastaba con hacer constar en la anotación “el órgano judicial y el procedimiento a que está afecta”. Constituía una extralimitación expresar, con acceso a terceros a través de la publicidad registral, los delitos que se investigaban en las citadas diligencias previas cuando no lo exigía la normativa hipotecaria (arts. 72 y 73 LH y 166 RH) y lo vedaba en principio la normativa procesal (art. 301 LECrim). Solicitaba, en consecuencia, que el órgano judicial competente ordenase al registro que suprimiese el contenido excesivo.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las resoluciones judiciales que aquí se impugnan no accedieran a esta solicitud es lo que, en su criterio, debe conducir a que se declare “la vulneración de la tutela judicial efectiva, en relación con el derecho a la presunción de inocencia, el derecho al honor y a la intimidad, ante la actitud de los órganos judiciales que, debiendo cerciorarse de que el contenido de la nota simple registral concuerda con la finalidad de la medida adoptada, y se ajusta al contenido de las previsiones legales existentes, se han negado a librar los oportunos mandamientos al registro de la propiedad, pese a la solicitud del hoy demandante de amparo, para restablecer a este en sus derechos”. Suplica, por consiguiente, que se anulen dichas resoluciones judiciales —el auto de 20 de junio de 2017 del Juzgado Central de Instrucción núm. 4 y el auto 31 de julio de 2017 de la Sección Cuarta de la Sala de lo Penal de la Audiencia Nacional— y que se restablezca al recurrente en sus derechos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insta la desestimación del recurso de amparo. Sostiene que si lo que se pretende es la modificación de la medida cautelar adoptada por el auto de 29 de junio de 2015, así como del mandamiento judicial subsiguiente, habría sido necesario alegar algún cambio sobrevenido en las circunstancias determinantes, lo que no se hizo. Afirma, en segundo lugar, que el auto que acordó la medida cautelar y el mandamiento judicial que lo ejecutó debían explicitar los delitos por los que se seguía el procedimiento porque así lo disponía el art. 20 LH, el art. 72 LH y los arts. 100 y 165 RH. Sostiene, por último, que estos preceptos de la regulación hipotecaria, en la medida que sustentan una publicidad legal que se orienta a “la eficacia misma de la normativa penal y de la prevención de delitos, […] [así como a] la protección y posible indemnidad de quienes hayan podido resultar perjudicados por las presuntas actuaciones delictivas”, constituyen un límite legal para los derechos fundamentales invocados y que este límite respeta su contenido esencial porque prevé que la constancia registral de los delitos aluda a su carácter presunto.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solicita la estimación del recurso. En su opinión, la motivación de los autos impugnados vulnera el derecho a una resolución fundada en Derecho (art. 24.1 CE) por ser ilógica o estar incursa en error patente. Ello se desprendería, en su opinión, de que, mientras el recurrente cuestionaba el exceso de contenido de la anotación registral, los órganos judiciales respondieron acerca de la regularidad del auto que acordaba la medida cautelar y del subsecuente mandamiento judicial. Por esta misma razón el fiscal considera que las resoluciones judiciales recurridas incurren en una incongruencia por error, que supone una nueva lesión de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 orden de cosas, el fiscal argumenta, con fundamento en la normativa hipotecaria y procesal (arts. 51, 72 y 73 LH; 166 RH y 301 LECrim), que la mención controvertida de los delitos por los que se sigue el procedimiento “se revela como ‘manifiestamente innecesari[a] o irrelevante’ para el interés público (de tercero) en los derechos inscritos, o dicho de otro modo para la finalidad de la información registral”. Esta innecesariedad conllevaría, invocando en su apoyo la STC 58/2018, la lesión del derecho al honor porque la información de que una persona está siendo investigada por uno o varios delitos le desmerece en la consideración ajena. No ve obstáculo a esta conclusión en que la anotación de prohibición de disponer no aluda al recurrente, pues consta en la inscripción registral que éste era el anterior titular y también que la adquisición por la actual titular registral fue por aportación, de donde se deduciría que el recurrente es socio de la mercantil que consta como titular registral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sus alegaciones afirmando que “al no corregirse en las resoluciones recurridas, se habría producido la alegada vulneración del derecho a la tutela judicial efectiva en relación con la presunción de inocencia y 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debate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hacer las siguientes precisiones con el fin de establecer a qué cuestiones se contrae el debate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Varios argumentos del abogado del Estado se dirigen a sostener la regularidad del auto que acordó la medida cautelar y del mandamiento judicial que lo actuó. No hay objeción en reconocer que la resolución que acuerda una medida cautelar real como la de autos ha de aludir a los delitos por los que se sigue el procedimiento. Es el único modo de motivar por qué la medida cautelar es procedente. Lo mismo cabe decir de su constancia en el respectivo mandamiento judicial, tanto porque lo impone expresamente el art. 20 LH en los casos (como el presente) en que es aplicable, como porque resulta necesario a fin de que el registrador tenga suficiente información para verificar su función de calificación, y en especial para examinar la congruencia de la anotación registral ordenada con el procedimiento en que se ordena (art. 100 RH).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este recurso de amparo se plantea otra cuestión, que no tiene que ver con el auto que acordó la medida cautelar y el subsecuente mandamiento judicial, sino con el contenido de la anotación de prohibición de disponer que se extiende en cumplimiento de aquellos. Que aquel auto y aquel mandamiento, que tienen entre sus destinatarios respectivamente a las partes del proceso y al registrador de la propiedad, deban expresar unos ciertos contenidos que atienden a la posición de estos destinatarios no conlleva necesariamente que la anotación registral consecuente, que tiene una finalidad distinta, ligada a la garantía del eventual resultado del proceso penal mediante la publicidad registral, deba también hacer tal constancia. Sobre esta última cuestión, y sobre sus posibles consecuencias para los derechos fundamentales invocados, versa este recurso de amparo, y no acerca del contenido que corresponda al auto que acuerda la medida cautelar y el subsecuente mandamiento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ningún momento pide la modificación del auto que acordó la medida cautelar ni la del mandamiento judicial subsecuente y por este motivo resulta innecesario examinar, a pesar de la alegación del abogado del Estado, si aquel fundó su solicitud en una modificación de las circunstancias determinantes de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alegó ante el juzgado central la lesión de los derechos a la presunción de inocencia, al honor y a la intimidad que se hace valer en este recurso de amparo. En el recurso de apelación, aparte de expresar que la respuesta del juzgado central había incurrido en incongruencia por error, reiteró la invocación de los referidos derechos. De acuerdo con este desarrollo de la vía judicial previa, el Tribunal aprecia que, por lo que hace a la invocación de los derechos a la presunción de inocencia, al honor y a la intimidad, la subsidiariedad del recurso de amparo ha quedado plenamente salvaguardada, pues se ha dado a los dos órganos jurisdiccionales competentes oportunidad de resolver acerca de esta invocación.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circunstancias, el Tribunal considera que debe resolver prioritariamente sobre las alegaciones relativas a estos derechos y solo en un momento posterior pronunciarse, en caso de ser necesario, acerca de la queja que la demanda formula en relación al derecho a la tutela judicial efectiva. Este orden de análisis contribuye a que, en caso de que este Tribunal aprecie una vulneración de alguno de aquellos tres derechos, el efecto del otorgamiento del amparo sea inmediato. Hacerlo de otro modo supondría (por todas, en relación al art. 18.1 CE, STC 29/2013, 11 de febrero, FJ 2) que, en tal caso, se retardase innecesariamente la cesación en la lesión y tutela efectiva de los referidos derechos, pues la eventual estimación del recurso que se basara en que la argumentación es ilógica o incongruente no conduciría más que a retrotraer las actuaciones para que los órganos judiciales resolvieran de nuevo la queja planteada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 la presunción de inocencia: falta de afectación.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invoca en primer término el derecho a la presunción de inocencia. La STC 133/2018, de 13 de diciembre, FJ 4, ha reiterado una doctrina constitucional constante al afirmar que en él se comprende el derecho a recibir “la consideración y el trato de no autor o no partícipe en hechos de carácter delictivo o análogo a estos sin previa resolución dictada por el poder público u órgano competente que así lo declare, y determina por ende el derecho a que no se apliquen las consecuencias o los efectos jurídicos anudados a hechos de tal naturaleza en las relaciones jurídicas de todo tipo (SSTC 109/1986, de 24 de septiembre, FJ 1; 283/1994, de 24 de octubre, FJ 2; 166/1995, de 20 de noviembre, FJ 3, y 244/2007, de 10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que la anotación preventiva cautelar relativa a la prohibición de disponer no contraría el derecho a recibir la consideración y el trato de no autor o no partícipe en tales hechos de carácter delictivo. Ello no se debe solo a que la mención a tales delitos vaya acompañada de la palabra “presuntos”, sino sobre todo a que se explicita en la anotación registral misma que se inscribe en un procedimiento penal en curso, lo que entraña necesariamente reconocer, y declarar con el mismo efecto de acceso a terceros en virtud de la publicidad registral, que la presunción de inocencia de esa persona no ha quedado desvirtuada.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argumento comporta descartar esta alegación sin necesidad de hacer ningún pronunciamiento sobre el encaje constitucional de la dimensión del derecho a la presunción de inocencia aquí implicada, ni sobre la cuestión de fondo de su eventual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al honor: afectación.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de los derechos invocados es el derecho al honor. La citada STC 133/2018, compendiando una doctrina constitucional constante, indica que “[e]l ‘honor’, como objeto del derecho reconocido en el art. 18.1 CE, es un concepto jurídico normativo cuya precisión depende de las normas, valores e ideas sociales vigentes en cada momento. No obstante esta imprecisión del objeto del derecho al honor, no hemos renunciado a definir su contenido constitucional abstracto al afirmar que ‘este derecho ampara la buena reputación de una persona, protegiéndola frente a expresiones o mensajes que la hagan desmerecer en la consideración ajena al ir en su descrédito o menosprecio o que sean tenidas en el concepto público por afrentosas’ […] (STC 14/2003, de 28 de enero, FJ 12; en el mismo sentido, entre otras, SSTC 127/2003, de 30 de junio, FJ 6; 216/2006, de 3 de julio, FJ 7; 51/2008, de 14 de abril, FJ 3, y 208/2013,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el Tribunal ha reconocido que las noticias que conecten a una persona física con la comisión de un delito (STC 58/2018) o con su investigación en fase de instrucción (STC 14/2003) son susceptibles de afectar a su reputación.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enjuiciar a la luz de esta doctrina los hechos del caso. El recurrente, a raíz de la información registral obtenida por un tercero y comprensiva de todo el contenido del folio registral de la finca respectiva, conoció que la anotación de prohibición de disponer expresaba los delitos objeto de investigación. A partir de esta noticia, solicitó del órgano judicial competente que se ordenase al registro que suprimiera en la anotación registral la mención de tales delitos, no accediéndose a esta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que el enjuiciamiento de estos hechos a la luz de aquella doctrina debe fundarse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no aparece como titular actual de la finca registral sobre la que pesa la anotación, ni su nombre consta en esta. En uno y otro caso solo resulta identificada la mercantil Caned Madrid, S.L. No obstante, conforme alega el fiscal, una nota simple que alcance a todos los contenidos del folio registral, como la que obra en autos, muestra a los terceros que el recurrente es el anterior titular de la finca y que Caned Madrid, S.L., la adquirió por aportación. Estas circunstancias permiten a los terceros deducir que el recurrente es socio de la citada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conocimiento de los contenidos del folio registral deriva de la publicidad formal del registro (art. 221 LH). El art. 222.7 LH prevé que los terceros tendrán acceso a la información registral para el “logro de fines lícitos”, de donde nace la necesidad de invocar un interés legítimo para su consulta. No se trata de cualquier interés, sino de que esté relacionado con el cumplimiento de la finalidad del registro, es decir, la investigación jurídica, patrimonial y económica, que incluye el crédito, la solvencia y la responsabilidad de los titulares del inmueble. Sin embargo, ello no puede llevarse a cabo sin que medie una ponderación entre el interés del tercero y la injerencia en los derechos fundamentales de la persona a cuyo nombre figuren inscritos los bienes, de modo que los datos que afecten a dichos derechos fundamentales, ya no van a poder figurar en el registro de la propiedad, operando en este caso el derecho a la cancelación.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como también apunta el fiscal, consta en el registro mercantil que el recurrente es administrador solidario de la mercantil Caned Madrid, S.L. En el ámbito del registro mercantil se refuerza el principio de publicidad para adaptarse a las exigencias de transparencia y agilidad del mercado, por lo que el interés del solicitante se presume (instrucción de la dirección de los registros y del notariado de 17 de febrero de 1998). Además, se desprende de la jurisprudencia del Tribunal de Justicia de la Unión Europea (C-398/2015, asunto Manni, párrafo 51), que, según la directiva 68/151 sobre publicidad obligatoria de algunos aspectos de las sociedades mercantiles, la publicidad “tiene por objeto permitir que todos los terceros interesados estén informados sin que deban justificar la existencia de un derecho o un interés que necesite protección”. El Tribunal reconoce, en consecuencia, que la publicidad reforzada que ofrece el registro mercantil extenderá aún más el conocimiento por los terceros del vínculo entre el recurrente y la mercantil Caned Madrid, S.L., y, por tanto, entre aquel y la investigación de los delitos mencionados en la anotación de prohibición de disponer.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aplicación de la doctrina constitucional reseñada antes, el Tribunal entiende que la información que relacione a una persona física con la investigación en fase de instrucción de hechos delictivos, aunque mantenga intacta la presunción de inocencia del afectado, conlleva o puede conllevar, teniendo en cuenta actitudes sociales que son hechos notorios, un desmerecimiento en la consideración ajena, quedando de ese modo menoscabada su reputación.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Esta afectación al derecho al honor es de una naturaleza agravada. Tiene una especial gravedad porque los delitos mencionados en la anotación registral, o al menos alguno de ellos como el fraude a la hacienda pública o el blanqueo de capitales, se conectan directamente con la actividad profesional del recurrente que, como ya hemos destacado, es administrador solidario de Caned Madrid, S.L., así como de otras sociedades mercantiles. La STC 133/2018 reitera que “la actividad profesional suele ser una de las formas más destacadas de manifestación externa de la personalidad y de la relación del individuo con el resto de la colectividad, de forma que la descalificación injuriosa o innecesaria de ese comportamiento tiene un especial e intenso efecto sobre dicha relación y sobre lo que los demás puedan pensar de esa persona, repercutiendo tanto en los resultados patrimoniales de su actividad como en la imagen personal que de ella se tenga”, doctrina constitucional expresada igualmente en las SSTC 180/1999, de 11 de octubre, FJ 5; 41/2011, de 11 de abril, FJ 5 c), y 216/2013, de 19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concluye, a partir de todos estos razonamientos, que en el presente caso mencionar en la anotación registral de prohibición de disponer los delitos por los que se siguen las diligencias previas supone una afectación del derecho al honor del recurrente, que es de particular intensidad, por lo que debe precisarse si ello ha producido la lesión por la que se reclama.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restricción legal del derecho al honor: idoneidad, necesidad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sistema constitucional de 1978 no hay derechos fundamentales absolutos. Con tal que respete el núcleo esencial que actúa como el límite de los límites legales, el legislador puede definir el contenido de los derechos fundamentales y en especial establecer restricciones. Estas, sin embargo, necesariamente han de (i) preverse en norma de rango legal; (ii) orientarse a la realización de un fin constitucionalmente legítimo, y (iii) perseguirlo de un modo necesario y proporcionado, esto es, que la restricción legal, además de no ser sustituible por otra menos restrictiva, no genere más perjuicios al derecho al honor que beneficios para los fines constitucionales a que sirve. Se examinan a continuación estas cuestiones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anotación preventiva que según el recurrente causa una lesión de su derecho al honor halla cobertura legal en el art. 764 LECrim en relación con el art. 727.6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29 de junio de 2015 del Juzgado Central de Instrucción núm. 4, que acordó la medida cautelar real de anotación de prohibición de disponer, señala en sus antecedentes de hecho que “estos inmuebles […] [son] considerados como efectos procedentes de los delitos contra la Hacienda Pública y de blanqueo de dinero, como objeto en sí de dicho blanqueo, por lo que no se hace precisa la mención a cantidad alguna. No se trata, por ello, del embargo al que se refiere la circunstancia tercera del art. 166 RH, sino de la circunstancia cuarta, in fine, de dicho precepto”. En otras palabras, la anotación registral acordada tiene el efecto negativo de cerrar la publicidad registral a los actos dispositivos posteriores a ella. De manera que quien pudiera adquirir extraregistralmente algún derecho sobre él pueda tener la consideración de tercero de buena fe. Todo ello con el propósito de que no surjan, en el interim, nuevos titulares que puedan obstaculizar la eficacia de una eventual sentencia de condena, concretamente la dimensión de esta eficacia consiste en el comiso de los efectos de los delitos por los que se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Coherentemente con este fin de la medida cautelar, el referido auto afirma que su fundamento jurídico es el apartado primero del art. 764 LECrim (“el juez o tribunal podrá adoptar medidas cautelares para el aseguramiento de las responsabilidades pecuniarias, incluidas las costas”). Expone además que, conforme al apartado segundo del mismo precepto, se aplicarán las normas sobre contenido y presupuestos de las medidas cautelares establecidas en la Ley de enjuiciamiento civil, específicamente en el art. 727.6 LEC, (“otras anotaciones registrales, en casos en que la publicidad registral sea útil para el buen fin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norma legal que ampara en el presente caso que el juzgado central acordase la anotación registral de prohibición de disponer es el art. 764 LECrim en relación con el art. 727.6 LEC. La conjunción de estos dos preceptos legales habilita al juez penal, en el seno de una investigación desarrollada durante la fase de instrucción, a ordenar, como medida cautelar real, al registro de la propiedad que extienda respecto de un inmueble una anotación preventiva de prohibición de disponer.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anotación registral preventiva de prohibición de disponer se ceñirá, por mandato expreso del art. 727.6 LEC, al contenido estrictamente imprescindible para que la publicidad registral que entraña “sea útil para el buen fin de la ejecución [de la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precisamente, debe reiterarse que el auto que acuerde la medida cautelar de anotación registral de prohibición de disponer y el subsecuente mandamiento judicial dirigido al registro han de expresar, al menos en ciertos casos, los delitos por los que se sigue el procedimiento penal, pues ello coadyuva a explicar las razones de su adopción y a posibilitar que el registrador lleve a cabo su función calificadora. Ahora bien, si bien dichos delitos han de integrar el contenido de esas resoluciones judiciales, no quiere decir que la anotación registral también deba expresarlos. El art. 727.6 LEC se orienta exclusivamente a que, mediante la publicidad registral, se asegure el “buen fin de la ejecución [de la resolución judicial]”. Esta específica instrumentalidad delimita el contenido posible de la anotación registral, quedando fuera de él la mención de los delitos concretos objeto de investigación en las diligencias previas en cuyo contexto se ordena su extensión en el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mención de los delitos en la anotación registral no cumple los requisitos de idoneidad, necesidad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señalado, la anotación registral de prohibición de disponer se debe ceñir, por mandato expreso del art. 727.6 LEC, al contenido estrictamente imprescindible para que la publicidad registral que entraña “sea útil para el buen fin de la ejecución [de la resolución judicial]”. Sin embargo, en este caso, la anotación preventiva referente a la prohibición de vender, gravar, obligar o enajenar los derechos de propiedad que ostenta la mercantil Caned Madrid, S.L., sobre la finca en cuya inscripción está dicha nota marginal se añaden los delitos por los que se siguen las diligencias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relación de delitos constituye una información innecesaria, como así lo considera también el ministerio fiscal, para que la publicidad registral de la prohibición de disponer, en su vertiente de publicidad material, cumpla su función. La anotación preventiva de la medida cautelar acordada produce los efectos que le son propios sin necesidad de que estos consten. Estos efectos son: i) el aseguramiento de la efectividad de la medida y ii) evitar que los bienes entren en el mercado sin posibilidad de recuperación porque, al no estar publicada la prohibición de disponer, los adquirentes futuros tendrían la condición de terceros de buena fe (art. 34 LH), frustrándose así la medida cautelar impuesta por el juez. Tampoco es imaginable cómo la mención de los delitos en la anotación registral de prohibición de disponer puede, como consecuencia de la publicidad registral en sentido formal, coadyuvar al buen fin de la ejecución de la resolución judicial que en su día se acuerde. De hecho, en ninguna de las normas que regulan las anotaciones preventivas (arts. 51, 72 y 73 LH; art. 166 RH) se ordena que los delitos concretos por los que se siguen las diligencias previas integren el contenido de la anotación registral.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tanto, de una medida innecesaria para alcanzar el objetivo perseguido por lo que no puede afirmarse que resulte ponderada o equilibrada, ya que de su aplicación no pueden derivarse más beneficios o ventajas para el interés general que perjuicios sobre otros bienes o intereses en conflicto —juicio de proporcionalidad—, en este caso el derecho al honor del recurrente. De ahí, que la inclusión de los delitos no supere, a los efectos que aquí importan, los tres requisitos o condiciones que conforman el juicio de proporcionalidad exigido por la jurisprudencia de este Tribunal para determinar la constitucionalidad de cualquier medida restrictiva de derechos. Es decir, (i) que la medida sea “susceptible de conseguir el objetivo propuesto (juicio de idoneidad)”; (ii) que, además, sea “necesaria, en el sentido de que no exista otra medida más moderada para la consecución de tal propósito con igual eficacia (juicio de necesidad)”; y, (iii) finalmente, que la misma sea “ponderada o equilibrada, por derivarse de ella más beneficios o ventajas para el interés general que perjuicios sobre otros bienes o valores en conflicto” (juicio de proporcionalidad en sentido estricto) (STC 14/2003, de 28 de enero, FJ 9; en el mismo sentido SSTC 43/2014, de 27 de marzo, FJ2; 170/2013, de 7 de octubre, FJ 5, y 39/2016, de 3 de marzo,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al hacer constar en la anotación preventiva los delitos, de especial gravedad, por los que se ordena la prohibición de disponer, que el recurrente solicitaba a los órganos judiciales fueran excluidos, se vulneró su derecho al honor. Pues la información aportada podría poner en cuestión, ante la consulta del registro por cualquier tercero, su reputación y actuación profesional, afectando al núcleo duro del mencionado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resoluciones judiciales impugnadas no hallan cobertura en esta restricción legal del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alegó ante el juzgado central que el conocimiento por terceros, en virtud de la publicidad formal del registro, de los delitos por los que era investigado comprometía su derecho al honor. Solicitaba, en consecuencia, que se dictase nuevo mandamiento judicial que ordenase al registro alterar, mediante la supresión de dichos delitos, la anotación registral de prohibición de disponer.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central, mediante auto de 20 de junio de 2017, desestimó la pretensión del recurrente. Aunque es cierto que la motivación del juzgado central era incongruente con la pretensión deducida por el recurrente, lo relevante en este momento es que dicha decisión judicial, al no acceder a suprimir la mención de los delitos en la anotación registral conlleva, por los motivos expuestos en el fundamento jurídico 4 de esta sentencia, una afectación al derecho al honor. Dicho auto no halla en los arts. 764 LECrim y 727.6 LEC cobertura legal para la afectación del derecho al honor que entraña, pues, como se ha razonado en el fundamento jurídico 5 a), detallar los delitos concretos por los que se siguen las diligencias previas se revela innecesario para que, mediante la publicidad registral, sea en su vertiente formal o material, se asegure el “buen fin de la ejecución [de la resolución judicial]”. Este Tribunal declara, en consecuencia, que el auto de 20 de junio de 2017 del Juzgado Central de Instrucción núm. 4 lesionó el derecho al honor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manifestó en el recurso de apelación la incongruencia de dicho auto de 20 de junio de 2017 y, además, reiteró la invocación del derecho al honor y la solicitud de que se ordenase al registro la supresión de la mención de los delitos. La Sección Cuarta de la Sala de lo Penal de la Audiencia Nacional, mediante auto de 31 de julio de 2017, confirmó el auto recurrido, por lo que no reparó la lesión del derecho al honor en que aquel había incurrido.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aprecia, por consiguiente, que ambas resoluciones judiciales lesionaron el derecho al honor del recurrente, por lo que corresponde su anulación. Para restablecer al recurrente en su derecho lesionado procede, ordenar al Juzgado Central de Instrucción núm. 4 de Madrid que libre mandamiento judicial al Registro de la Propiedad núm. 5 de Alicante, en el que le requiera la supresión en la anotación registral de prohibición de disponer de la mención de los delitos concretos por los que se siguen las diligencias previas en que se adoptó aquella como medida cautelar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Innecesariedad de analizar el resto de motivos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Declarado por este Tribunal que las resoluciones judiciales impugnadas han lesionado el derecho al honor y restablecido este en su derecho en la forma indicada, resulta ya innecesario examinar la invocación que se formula en la demanda de amparo del derecho a la intimidad, y del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A.H.L.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al honor (art. 18.1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al recurrente en su derecho y, a tal fin,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la nulidad del auto de 20 de junio de 2017 del Juzgado Central de Instrucción núm. 4 y del auto de 31 de julio de 2017 de la Sección Cuarta de la Sala de lo Penal de la Audiencia Nacional.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Ordenar al Juzgado Central de Instrucción núm. 4 que libre mandamiento judicial al Registro de la Propiedad núm. 5 de Alicante, en el que le requiera, en relación a la “Finca:1646 de Mutxamel. Libro 280. Folio: 214. Número de IDUFIR: 030224000005329. Referencia catastral: 03090A011000230000GB”, la supresión en la anotación registral de prohibición de disponer que pesa ella de la mención “por presuntos delitos de pertenencia a organización criminal, fraude a la hacienda pública, relativos a la prostitución, blanqueo de capitales y otras actividades delictivas conexas habiéndose acordado por auto de 29 de junio de 2015”.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