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34</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25 de febrero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Fernando Valdés Dal-Ré, don Santiago Martínez-Vares García, don Juan Antonio Xiol Ríos, don Pedro José González-Trevijano Sánchez, don Alfredo Montoya Melgar, don Ricardo Enríquez Sancho y la magistrada doña María Luisa Balaguer Callejón, en el incidente de recusación del magistrado don Andrés Ollero Tassara, planteado por la Generalitat de Cataluña en relación con el recurso de inconstitucionalidad 718-2020 interpuesto contra los arts. 1, 2, 3, 4, 6 y 7; disposición adicional única; disposiciones transitorias primera y segunda y disposición final primera del Real Decreto-ley 14/2019, de 31 de octubre, por el que se adoptan medidas urgentes por razones de seguridad pública en materia de administración digital, contratación del sector público y telecomunicaciones,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del Tribunal Constitucional el 4 de febrero de 2020, el gobierno de la Generalitat de Cataluña interpone recurso de inconstitucionalidad contra los arts. 1, 2, 3, 4, 6 y 7; disposición adicional única; disposiciones transitorias primera y segunda y disposición final primera del Real Decreto-ley 14/2019, de 31 de octubre, por el que se adoptan medidas urgentes por razones de seguridad pública en materia de administración digital, contratación del sector público y telecomunicaciones.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otrosí, la representación procesal del gobierno de la Generalitat de Cataluña plantea incidente de recusación del magistrado don Andrés Ollero Tassara, por las causas previstas en los apartados 9 (“amistad íntima o enemistad manifiesta con cualquiera de las partes”) y 10 (“tener interés directo o indirecto en el pleito o causa”) del art. 219 de la Ley Orgánica 6/1985, de 1 de julio, del Poder Judicial (LOPJ). La recusación planteada trae causa del contenido de los apartados 1 y 2 del voto particular formulado por el referido magistrado, en relación con la STC 132/2019, de 13 de noviembre, dictada por el Pleno en el recurso de inconstitucionalidad núm. 2557-2017. Se fundamenta en los mismos argumentos que la ya formulada por el gobierno de la Generalitat de Cataluña el día 10 de diciembre de 2019 en relación con los procesos que se tramitan ante este Tribunal bajo los núms. 4362-2017, 4814-2017, 5332-2017, 4088-2019 y 6116-2019.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diligencia de ordenación de 25 de febrero de 2020, la Secretaria de Justicia del Pleno del Tribunal ha dado cuenta de la presentación de esta propuesta de recusación.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Gobierno de la Generalitat de Cataluña promueve la recusación del magistrado don Andrés Ollero Tassara, al apreciar que concurren en él las causas previstas en los apartados 9 y 10 del art. 219 de la Ley Orgánica 6/1985, de 1 de julio, del Poder Judicial (LOPJ), en relación con el recurso de inconstitucionalidad que se tramita ante este Tribunal bajo el núm. 718-2020, cuyo objeto se detalla en los antecedentes de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recusación presenta identidad subjetiva, objetiva y de causas con las resueltas en el ATC 17/2020, de 12 de febrero, al cual debemos remitirnos para resolver la promovida en este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Concretamente, en cuanto al planteamiento de una recusación basada en el sentido de un voto particular, el ATC 17/2020, a partir de la doctrina de los previos AATC 394/2006, de 7 de noviembre, FJ 4, y 454/2006, de 12 de diciembre, FJ 5, afirma que “la facultad de emitir votos particulares es consustancial a la función desempeñada por los magistrados del Tribunal y que no cabe admitir, en principio, una recusación basada en las afirmaciones y posicionamientos que se expresan en ellos” (fundamento jurídico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en relación con las causas a que se refiere el art. 219.9 LOPJ (“amistad íntima o enemistad manifiesta con cualquiera de las partes”), el ATC 17/2020, FJ 3, también considera que “dado el carácter personalísimo de la causa de recusación analizada, no es posible admitir, ni lógica ni jurídicamente, que el magistrado recusado don Andrés Ollero Tassara mantenga, como así lo afirma la entidad que plantea la recusación, una relación de enemistad con ‘los catalanes, la Generalitat de Cataluña, su Gobierno o Parlamento’. Por consiguiente, este motivo de recusación debe rechazarse”.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en cuanto a la causa 10 del art. 219 LOPJ, el interés directo o indirecto en el objeto del proceso, este Tribunal sostuvo que la recusación planteada “vincula el ‘interés’ con el compromiso del magistrado recusado en mantener opiniones expresadas con anterioridad, como sería la de su voto particular a la citada STC 132/2019. Dicha interpretación se aparta de la doctrina constitucional sobre lo que debe entenderse como interés en el objeto del proceso pues, según afirmaron los antes citados AATC 394/2006 y 454/2006, no puede admitirse que la opinión vertida en el ejercicio de las funciones que constitucionalmente corresponden a un magistrado constitucional en un asunto ya resuelto pueda revelar un interés en el sentido de esta causa de recusación” (ATC 17/2020,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Consecuentemente, la remisión a los anteriores razonamientos del ATC 17/2020 aboca a la inadmisión liminar de la recusación promovida.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recusación del magistrado don Andrés Ollero Tassara, formulada por el Gobierno de la Generalitat de Cataluña en el recurso de inconstitucionalidad núm. 718-2020.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