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9 de marzo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857-2019, promovido por don Félix Tuñón Fente, representado por la procuradora de los tribunales doña María del Carmen Olmos Gilsanz, bajo la dirección del letrado don Enrique Arce Mainzhausen, contra la providencia de la Sección Primera de la Sala de lo Contencioso-Administrativo del Tribunal Supremo de 20 de diciembre de 2018, por la que se inadmite a trámite el recurso de casación núm. 5917-2018, promovido contra la sentencia de la Sección Tercera de la Sala de lo Contencioso-Administrativo de la Audiencia Nacional de 5 de junio de 2018, pronunciada en el procedimiento ordinario núm. 974-2016, por la que se desestima el recurso contencioso-administrativo interpuesto contra la resolución del secretario de estado de Justicia de 3 de octubre de 2016, dictada en el expediente núm. 406-2015, que desestimó la reclamación por responsabilidad patrimonial derivada del tiempo que permaneció en prisión provisional en una causa penal en la que resultó absuelto. Ha sido parte el abogado del Estado.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del Carmen Olmos Gilsanz, en nombre y representación de don Félix Tuñón Fente, y bajo la dirección del letrado don Enrique Arce Mainzhausen, interpuso recurso de amparo contra las resoluciones judiciales y administrativa que se mencionan en el encabezamiento de esta sentencia, mediante escrito registrado en este Tribunal el 8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 de julio de 2015, el demandante de amparo presentó un escrito en el Ministerio de Justicia solicitando una indemnización por los perjuicios sufridos como consecuencia de su estancia en prisión provisional desde el 23 de septiembre de 2013 hasta el 4 de julio de 2014 en el seno de las diligencias previas núm. 550-2013 del Juzgado de Instrucción núm. 1 de Ponferrada, convertidas luego en el procedimiento abreviado núm. 106-2014, en las que fue absuelto por sentencia del Juzgado de lo Penal núm. 1 de Ponferrada de 7 de julio de 2014. La reclamación dio lugar al expediente de responsabilidad patrimonial núm. 406-2015.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reclamación fue desestimada por resolución de la Secretaría de Estado de Justicia de 3 de octubre de 2016 argumentando que “estamos, pues, ante una sentencia absolutoria en la que no se declara la inexistencia del hecho imputado, por lo que […] no concurre el supuesto de indemnización previsto en el artículo 294.1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interpuso recurso contencioso-administrativo, que fue tramitado con el núm. 974-2016 por la Sección Tercera de la Sala de lo Contencioso-Administrativo de la Audiencia Nacional, siendo desestimado por sentencia de 5 de junio de 2018, argumentando que no se trata de un supuesto de inexistencia objetiva reconducible al art. 294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interpuso recurso de casación, tramitado con el núm. 5917-2018, que fue inadmitido por providencia de la Sección Primera de la Sala de lo Contencioso-Administrativo del Tribunal Supremo de 20 de diciembre de 2018 por falta de fundamentación suficiente de la concurrencia de los supuestos del art. 88.2 de la Ley reguladora de la jurisdicción contencioso-administrativa (LJCA) que permiten apreciar el interés casacional objetivo. Esta providencia fue notificada el mismo día 20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otorgue el amparo por vulneración de los derechos a la igualdad (art. 14), la libertad personal (art. 17.1 CE) y la presunción de inocencia (art. 24.2 CE), declarándose la nulidad de las resoluciones impugnadas, con fundamento en el desigual trato a que se somete la indemnizabilidad de la prisión preventiva dependiendo de la causa de la absolución y en que la denegación deja sin indemnizar un daño efectivo en el derecho a la libertad. Igualmente, alega que la providencia de inadmisión ha vulnerado su derecho a la tutela judicial efectiva (art. 24.1 CE), ya que es una decisión arbitraria al fundamentarse en una causa legalmente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transcendencia constitucional del recurso en que da la oportunidad al Tribunal Constitucional de aclarar o cambiar su jurisprudencia sobre el derecho a ser indemnizado por la situación de prisión preventiva sufrida en un procedimiento en que posteriormente se es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25 de noviembre de 2019, acordó la admisión a trámite del presente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dirigir atenta comunicación a los órganos judiciales para que remitan certificación o fotocopia adverada de las actuaciones y emplazamiento para que puedan comparecen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8 de enero de 2020, acordó tener por personado al abogado del Estado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7 de febrero de 2020, solicita, en primer lugar, la inadmisión del amparo por extemporáneo y, subsidiariamente, la estimación del recurso “con retroacción del expediente a la instancia oportuna a fin de que, de acuerdo con lo que dispone el art. 294 LOPJ, y siguiendo siempre el cauce procedimental adecuado, se acrediten los daños y perjuicios que en su caso se hubieran podido llegar a producir”. Destaca el abogado del Estado que, aunque resulta de aplicación la STC 85/2019, de 19 de junio, y, por ello, ha de declararse la vulneración del derecho a la presunción de inocencia al haberse aplicado un inciso del art. 294.1 LOPJ declarado inconstitucional por su contradicción con el art. 24.2 CE, el fallo de la citada resolución “deja incólume la expresión ‘siempre que se hayan arrogado perjuicios’”, lo que implica que el resarcimiento no es automático y que la administración debe ahora pronunciarse sobre la procedencia del resarcimiento determinando la realidad de los daños, sin atender ya, una vez depurado el art. 294.1 LOPJ de sus incisos inconstitucionales, a la concurrencia de un supuesto de absolución por “inexistencia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en este Tribunal el 23 de enero de 2020, interesa que se inadmita por falta de agotamiento de la vía judicial previa la invocación del art. 24.1 CE en relación con la providencia de inadmisión del recurso de casación y se estime parcialmente en relación con las invocaciones de los derechos a la igualdad y a la presunción de inocencia por aplicación de la doctrina dimanante de la STC 85/2019, de 20 de junio, en la que los incisos “por inexistencia objetiva del hecho imputado” y “por esta misma causa” del art. 294.1 LOPJ son declarados inconstitucionales y nulos por vulneración de los arts. 14 y 24.2 CE. Al haberse denegado la indemnización por no tratarse de un supuesto de inexistencia objetiva del hecho se incurre, a juicio del fiscal, en la vulneración del derecho a la presunción de inocencia que es inherente a la fijación normativa, por parte del legislador, de ese supuesto indemnizatorio, que exige diferenciar entre distintos tipos de absueltos. El Ministerio Fiscal solicita, subsidiariamente, que se inadmita el recurso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presentó sus alegaciones mediante escrito registrado el 11 de febrero de 2020 ratificándose en las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marzo de 2020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(i) la decisión de denegar la indemnización solicitada por el recurrente del tiempo que estuvo sometido a prisión preventiva en un procedimiento en que finalmente fue absuelto ha vulnerado sus derechos a la igualdad (art. 14 CE), a la libertad personal (art. 17.1 CE) y a la presunción de inocencia (art. 24.2 CE); y (ii) la decisión de inadmitir el recurso de casación vulneró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descartar, en primer lugar, que la demanda haya incurrido en extemporaneidad. Hasta la STC 125/2019, de 31 de octubre, resolviendo las dudas existentes, no se dejó establecida una doctrina constitucional según la cual en casos similares al aquí enjuiciado la vulneración denunciada trae causa exclusiva de la resolución administrativa. Dado que esta doctrina no podía ser conocida por el recurrente en el momento de interponer su recurso de amparo, las dudas a la sazón subsistentes no podían ser resueltas en contra de la admisibilidad del recurso. Por tanto, debe considerarse como plazo aplicable a la interposición del presente procedimiento de amparo el más amplio de treinta días que fija el artículo 44.2 LOTC, en lugar del fijado en el artículo 43.2. En atención a la fecha de la notificación de la última resolución dictada —20 de diciembre de 2018—, el plazo finalizaba a las 15:00 horas del día 8 de febrero de 2019, y el recurso había sido registrado telemáticamente con antelación el 8 de febrero de 2019 a las 14:51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sí debe declararse la inadmisión del recurso exclusivamente en lo que se refiere a la invocación del art. 24.1 CE respecto de la providencia del recurso de casación por concurrir la causa de la falta de agotamiento de la vía judicial previa [art. 44.1 a) LOTC], ya que, conforme a lo exigido en la jurisprudencia constitucional (así, STC 171/2019, de 16 de diciembre, FJ 1), hubiera sido necesaria para esa concreta invocación la previa interposición de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y los motivos invocados son sustancialmente coincidentes con los que ya han sido abordados por el Pleno del Tribunal Constitucional en los fundamentos jurídicos 4 y 5 de la STC 125/2019, de 31 de octubre, que determinaron los efectos que, sobre el recurso de amparo, debía producir la STC 85/2019, de 19 de junio, por la que se declaró la inconstitucionalidad de los incisos “inexistencia del hecho imputado” y “por esta misma causa” del art. 294.1 LOPJ, y se concretó el alcance que la estimación del amparo debía producir. Por ello, a tales fundamentos jurídicos debemos remitirnos. En dicha sentencia se concluía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Por ello, deben retrotraerse el procedimiento al momento anterior a dictarse la resolución del secretario de estado de justicia de 3 de octubre de 2016, que denegó de manera definitiva la indemnización y que originó la lesión de los derechos fundamentales a la igualdad y a la presunción de inocencia, para que la administración resuelva de nuevo la cuestión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Félix Tuñón Fente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de la vulneración del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han sido vulnerados sus derechos a la igualdad (art. 14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 en sus derechos y, a tal fin, declarar la nulidad de la providencia de la Sección Primera de la Sala de lo Contencioso-Administrativo del Tribunal Supremo de 20 de diciembre de 2018, pronunciada en el recurso de casación núm. 5917-2018; la sentencia de la Sección Tercera de la Sala de lo Contencioso-Administrativo de la Audiencia Nacional de 5 de junio de 2018, pronunciada en el procedimiento ordinario núm. 974-2016; y la resolución del secretario de estado de Justicia de 3 de octubre de 2016, dictada en el expediente núm. 406-2015.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las actuaciones al momento anterior a pronunciarse la última resolución citada para que se resuelva la reclamación de responsabilidad patrimonial por prisión provisional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