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3137-2019, promovido por doña Mónica Gutiérrez Portales, representada por el procurador de los tribunales don Manuel María Martínez de Lejarza Ureña y asistida por el abogado don Jesús Manuel Guzmán Ruiz, contra la sentencia de 3 de abril de 2019 de la Sala de lo Social del Tribunal Superior de Justicia de Andalucía, dictada en el recurso de suplicación núm. 2170-2018, y la sentencia de 28 de septiembre de 2018 del Juzgado de lo Social núm. 13 de Málaga, recaída en los autos núm. 111-2018. Ha comparecido y efectuado alegaciones la agencia pública empresarial sanitaria Costa del Sol, representada por la procuradora de los tribunales doña Úrsula Cabezas Manjavacas y asistida por el abogado don Andrés Sedeño Ferrer.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mayo de 2019 tuvo entrada en el registro general de este tribunal la demanda de amparo presentada por el procurador de los tribunales don Manuel María Martínez de Lejarza, en nombre y representación de doña Mónica Gutiérrez Portales,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presente recurso de amparo son los que a continuación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viene prestando servicios como médica del servicio de urgencias en el hospital Costa del Sol de Marbella (Málaga). La jornada anual ordinaria para los médicos de urgencias es de 1523 horas (siete horas al día), a lo que se suman 440 horas más en concepto de jornada anual complementaria, por realización de guardias (cuarenta y cuatro guardias de diez horas cada una). Estas guardias obligatorias generan un descanso en el día posterior “saliente de guardia” de veinticuatro horas, de las cuales se computan y remuneran como trabajadas siete horas por saliente. En las referidas 1523 horas anuales de jornada se encuentran incluidas no solo las horas realmente realizadas, sino también la que se reconocen como trabajadas por cada saliente (308 horas, a razón de siete horas por cuarenta y cuatro salientes).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3 de noviembre de 2017 la recurrente solicitó a la empresa una reducción de su jornada laboral para atender al cuidado de sus dos hijos menores en un 20 por 100, al amparo del art. 37.6 del texto refundido de la Ley del estatuto de los trabajadores y del art. 23 del convenio colectivo de la agencia pública empresarial sanitaria Costa del 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del director gerente de la agencia pública empresarial sanitaria Costa del Sol de 2 de enero de 2018 se le reconoció a la recurrente el derecho a la reducción de jornada en un 20 por 100, con efectos desde el 1 de enero de 2018, fijándose la jornada ordinaria reducida a realizar en 1016,80 horas anuales. La reducción solicitada se aplicó por la empresa en términos anuales, de tal forma que las horas trabajadas por cada jornada y cada guardia no sufrieron reducción alguna (siete y diez horas, respectivamente), sino que lo que se vio afectado fue el número total de días y guardias al año, pasando a ser treinta y seis guardias (en lugar de cuarenta y cuatro) y 1016,80 horas anuales de jornada efectiva (en lugar de 1523).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Disconforme la recurrente con el cálculo de la jornada reducida realizado por la empresa, presentó reclamación previa, que fue desestimada mediante resolución de 4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las antedichas resoluciones de la empresa presentó la recurrente demanda ante la jurisdicción social sobre reducción de jornada por guarda legal, concreción horaria y vulneración de derechos fundamentales. Alegó en la demanda la existencia de una desigualdad de trato entre trabajadores a tiempo completo y trabajadores con jornada reducida, lesiva de los derechos a la igualdad y a no sufrir discriminación (art. 14 CE), como consecuencia del modo en el que la empresa computó el trabajo efectivo derivado de cada saliente de guardia al calcular la reducción de la jornada por cuidado de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fue desestimada mediante sentencia del Juzgado de lo Social núm. 13 de Málaga de 28 de septiembre de 2018 (autos núm. 111-2018), que descartó que se hubiese producido un error en el cálculo de la jornada reducida realizado por la empresa. No apreciando error en ese cálculo, el juzgado negó la existencia de la discriminación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anterior resolución judicial la recurrente formuló recurso de suplicación, que fue desestimado por sentencia de la Sala de lo Social del Tribunal Superior de Justicia de Andalucía de 3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que las sentencias impugnadas han vulnerado los derechos de la recurrente a la igualdad y a no sufrir discriminación por razón de sexo (art. 14 CE). Afirma la recurrente, en síntesis, que, al calcular la reducción de jornada por cuidado de hijos solicitada, la empresa realizó un cómputo de los salientes de guardia que quebranta los referidos derechos fundamentales, ya que por un mismo trabajo (guardias obligatorias de diez horas) las trabajadoras con jornada reducida obtienen un menor tiempo de descanso retribuido. La jurisdicción social no reparó esa vulneración constitucional. Solicita por ello la recurrente que se anulen las sentencias impugnadas; asimismo, que se condene a la empresa a indemnizarla en la cuantía señalada en la demanda formulada ante la jurisdicción social, por la lesión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la admisión a trámite del recurso de amparo por providencia de 28 de octubre de 2019, apreciando que “concurre en el mismo una especial trascendencia constitucional [art. 50.1 Ley Orgánica del Tribunal Constitucional (LOTC)] porque el recurso plantea un problema o una faceta de un derecho fundamental sobre el que no hay doctrina de este tribunal [STC 155/2009, FJ 2 a)] y puede dar ocasión al tribunal para aclarar o cambiar su doctrina como consecuencia de un proceso de reflexión interna [STC 155/2009, FJ 2 b)]”. Por ello, en aplicación de lo dispuesto en el art. 51 LOTC, acordó dirigir atenta comunicación a la Sala de lo Social del Tribunal Superior de Justicia de Andalucía, a fin de que en un plazo que no excediese de diez días remitiese certificación o fotocopia adverada de las actuaciones correspondientes al recurso de suplicación núm. 2170-2018. Asimismo acordó lo propio con relación al Juzgado de lo Social núm. 13 de Málaga, a fin de que remitiese los autos núm. 111-2018 y emplazase a quienes hubiesen sido parte en el procedimiento, excepto a la recurrente en amparo, para que, en el plazo de diez días, pudieran comparecer si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registrado en este tribunal el 18 de noviembre de 2019, la procuradora de los tribunales doña Úrsula Cabezas Manjavacas, en nombre y representación de la agencia pública empresarial sanitaria Costa del Sol, solicitó que se la tuviera por personada y parte en el recurso de amparo y se entendieran con ella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27 de noviembre de 2019 se tuvo por personada y parte a la procuradora doña Úrsula Cabezas Manjavacas, en nombre y representación de la agencia pública empresarial sanitaria Costa del Sol y, a tenor de lo dispuesto en el art. 52 LOTC, se acordó dar vista de todas las actuaciones recibidas a las partes personadas y al Ministerio Fiscal, por un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diciembre de 2019 el procurador de los tribunales don Manuel María Martínez de Lejarza Ureña, en representación de la recurrente, presentó escrito de alegaciones ratificándose en las realizadas en la demanda de amparo. Asimismo, adjuntó con el escrito un informe pericial matemático en el que se analiza el controvertido cómputo de las guardias de las médicas del hospital Costa del Sol con reducción de jornada por cuidado de hijos, con el fin de avalar los cálculos realizados por la recurrente. Concluye solicitando que se estime el recurso de amparo reconociendo la vulneración del derecho a la igualdad y a la no discriminación a la recurrente, con declaración de nulidad de las sentencias impugnadas y condenando a la empresa a abonar a la recurrente la indemnización reclamada en vía judicial, por la lesión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enero de 2020 la procuradora de los tribunales doña Úrsula Cabezas Manjavacas, en representación de la agencia pública empresarial sanitaria Costa del Sol, presentó su escrito de alegaciones en este tribunal, solicitando la desestimación del recurso de amparo. Señala que la infracción constitucional que se denuncia se centra en la forma en que se ha realizado por la empresa el cómputo de la jornada reducida de la recurrente, que postula que se realice un cálculo distinto, más favorable a sus intereses. Tal cuestión es de legalidad ordinaria y no incide, por tanto, en el ámbito del derecho fundamental alegado por la recurrente. En cualquier caso se afirma que el cálculo realizado por la empresa es correcto y se niega que resulte discriminatorio para las trabajadoras con reducción de jornada. Concluye señalando que, al no existir vulneración de derechos fundamentales, no procede el reconocimiento de indemnización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enero de 2020, presentó sus alegaciones el Ministerio Fiscal. Como cuestión previa indica que, aunque el recurso de amparo se dirija formalmente contra las referidas sentencias de la jurisdicción social, lo cierto es que en realidad no estamos ante un recurso de amparo contra resoluciones judiciales (art. 44 LOTC), sino contra resoluciones administrativas (art. 43 LOTC), dado que las sentencias impugnadas se limitan a confirmar las resoluciones de un ente que forma parte de la administración pública, integrado en la Consejería de Sanidad de la Junta de Andalucía, al que sería imputable la vulneración de los derechos a la igualdad ante la ley y a no sufrir discriminación por razón de sexo que alega la recurrente. En consecuencia, el plazo para la interposición del recurso de amparo sería de veinte días hábiles (no de treinta) a contar desde la notificación a la recurrente de la sentencia que pone fin a la vía judicial, por lo que el presente recurso de amparo podría ser extemporáneo si se ha interpuesto transcurrido ese plazo; a tal efecto señala el fiscal que resulta necesario conocer la fecha en que fue notificada a la recurrente la sentencia que desestima el recurso de suplicación, para poder determinar si concurre o no la causa de inadmisión del art. 50.1 a) LOTC, en relación con el art. 43.2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no concurriese esa causa de inadmisibilidad, el Ministerio Fiscal considera que procedería estimar el recurso de amparo. La diferencia de trato que se produce entre trabajadores a tiempo completo y trabajadores con jornada reducida por razones de guarda legal como consecuencia del sistema de cálculo utilizado por la empresa resulta injustificada, porque unos y otros trabajan las mismas horas durante la jornada de guardia y, sin embargo, se abonan a la recurrente y a los demás trabajadores con reducción de jornada menos horas de descanso remunerado por guardia que a los trabajadores con jornada completa. En consecuencia, se vulnera el derecho a la igualdad ante la ley. Asimismo se produce una discriminación indirecta por razón de sexo, porque son las mujeres las que en mayor medida se acogen a la reducción de jornada para atender al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otorgar a la recurrente el amparo solicitado, por vulneración de sus derechos a la igualdad ante la ley y a no ser discriminada por razón de sexo (art. 14 CE), declarando en consecuencia la nulidad de las sentencias impugnadas, así como de las resoluciones administrativas confirmadas por aquellas. No procede en cambio acceder a la pretensión indemnizatoria, por tratarse de una cuestión de legalidad ordinaria, ajena por tanto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 de marzo de 2020 se ha recibido en este tribunal un oficio de la Sala de lo Social del Tribunal Superior de Justicia de Andalucía conforme al cual consta que la sentencia dictada el 3 de abril de 2019 en el recurso de suplicación núm. 2170-2018 fue notificada a la representación procesal de la recurrente en amparo el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 STC 79/2020,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determinar si la minoración aplicada por la empresa a la demandante sobre el descanso retribuido por guardia médica, como consecuencia de la reducción de jornada por motivos de guarda legal de menores de doce años, es contraria al principio de igualdad e interdicción de discriminación que reconoce el art. 14 CE. Así lo entiende la demandante, mientras que la demandada, agencia pública empresarial sanitaria Costa del Sol, titular del hospital Costa del Sol de Marbella, sostiene que no ha existido la lesión de derechos fundamentales que se alega y que lo planteado es una cuestión de mera legalidad ordinaria. Por su parte el Ministerio Fiscal solicita la estimación del recurso de amparo, siempre que se confirme que este ha sido presentado dentro del plazo de veinte días establecido en el art. 43.2 LOTC. Todo ello por las razones que han quedado expuestas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mediante la reciente STC 79/2020, de 2 de julio, ha estimado un recurso de amparo sustancialmente idéntico al presente, interpuesto por los mismos motivos por otra facultativa del hospital Costa del Sol de Marbella a la que también le fue aplicada la minoración sobre el descanso retribuido por guardia médica, como consecuencia de la reducción de jornada por motivos de guarda legal de menores de doce años, decisión empresarial que fue confirmada, como en este caso, por la jurisdicción social. También en aquel caso el Ministerio Fiscal interesó el otorgamiento del amparo por vulneración de los derechos de la recurrente a la igualdad ante la ley y la prohibición de discriminación indirecta por razón de sexo (art. 14 CE), siempre que este tribunal no apreciase la extemporaneidad de la demanda de amparo, por haber sido interpuesta fuera del plazo de veinte días que establece el art. 43.2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79/2020, tras descartar el óbice de extemporaneidad alegado por el fiscal, porque no se trata de un recurso de amparo del art. 43 LOTC, sino del art. 44 LOTC, que establece un plazo de treinta días para su interposición, se concluye que la diferencia de trato denunciada por la demandante no obedece a una justificación objetiva y razonable que la legitime. Por ello se estima la demanda de amparo, declarando vulnerado el derecho de la demandante a la igualdad ante la ley y la prohibición de discriminación indirecta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debemos descartar, por la misma razón, que la demanda de amparo, presentada en el registro de este tribunal dentro del plazo establecido por el art. 44.2 LOTC, sea extemporánea. Asimismo, siendo el presente recurso de amparo sustancialmente coincidente al resuelto por el Pleno en la STC 79/2020, procede remitirse a esta, dando por reproducidos sus fundamentos jurídicos. En consecuencia, debemos declarar que las sentencias impugnadas en el presente recurso de amparo, que negaron a la demandante, al calcular su jornada anual, el reconocimiento del mismo número de horas de trabajo efectivo por cada saliente de guardia que al resto de los trabajadores del hospital con jornadas a tiempo completo, han vulnerado su derecho a la igualdad ante la ley y a no sufrir discriminación indirecta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realizar pronunciamiento alguno sobre la pretensión indemnizatoria anudada a la lesión del derecho fundamental a la igualdad y a no padecer discriminación por razón de sexo, por tratarse de una cuestión ajena a la jurisdicción constitucional (STC 79/2020, FJ 6,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como en el caso de la STC 79/2020, el otorgamiento del amparo conlleva la nulidad de las sentencias impugnadas, con retroacción de las actuaciones al momento inmediatamente anterior a dictarse la sentencia del juzgado de lo social, para que sea dictada otra nueva,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Mónica Gutiérrez Portales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recurrente a la igualdad ante la ley y la prohibición de discriminación indirecta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Reestablecerla en su derecho y, a tal fin, anular la sentencia del Juzgado de lo Social núm. 13 de Málaga de 28 de septiembre de 2018, recaída en los autos núm. 111-2018, y la de la Sala de lo Social del Tribunal Superior de Justicia de Andalucía de 3 de abril de 2019, dictada en el recurso de suplicación núm. 2170-2018, que la confirmó.</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dictado de la sentencia del Juzgado de lo Social núm. 13 de Málaga de 28 de septiembre de 2018, a fin de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