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18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7501-2019, promovido por la entidad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Penrei Inversiones, S.L., representada por la procuradora de los tribunales doña Blanca Berriatua Horta y bajo la dirección de la letrada Dña. Anju Nirmala Benavent Rodríguez,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14 de julio de 2020, interpuso recurso de súplica ex art. 50.3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15 de julio de 2020, se acordó dar traslado del recurso a la representación del recurrente y concederle un plazo común de tres días a fin de que alegue lo que estime pertinente (art. 93.2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22 de julio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[“Boletin Oficial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 de 20 de julio de 2020— los recursos de amparo núms. 7526-2019 y 691-2020 respectivamente, que como puede apreciarse han sido interpuestos con posterioridad a la presentación del presente recurso de amparo (registrado con el núm. 7501-2019), e incluso con anterioridad a dichas fechas —por providencia de 9 de marzo de 2020— fue admitido el recurso de amparo núm. 7505-2019, también interpuesto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totalidad de los casos se ha apreciado como motivo de especial trascendencia constitucional [art. 50.1 de la Ley Orgánica del Tribunal Constitucional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admitiendo el recurso de amparo núm. 7501-2019 al apreciar en el mismo la especial trascendencia constitucional exigida.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