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Sala Segunda</w:t>
      </w:r>
      <w:r w:rsidRPr="008B7AB5" w:rsidR="008B7AB5">
        <w:rPr>
          <w:b/>
        </w:rPr>
        <w:t xml:space="preserve">. Auto </w:t>
      </w:r>
      <w:r>
        <w:rPr xmlns:w="http://schemas.openxmlformats.org/wordprocessingml/2006/main">
          <w:b/>
          <w:szCs w:val="24"/>
        </w:rPr>
        <w:t>107</w:t>
      </w:r>
      <w:r w:rsidRPr="008B7AB5" w:rsidR="008B7AB5">
        <w:rPr>
          <w:b/>
          <w:szCs w:val="24"/>
          <w:lang w:val="es-ES_tradnl"/>
        </w:rPr>
        <w:t>/</w:t>
      </w:r>
      <w:r>
        <w:rPr xmlns:w="http://schemas.openxmlformats.org/wordprocessingml/2006/main">
          <w:b/>
          <w:szCs w:val="24"/>
        </w:rPr>
        <w:t>2020</w:t>
      </w:r>
      <w:r w:rsidRPr="008B7AB5" w:rsidR="008B7AB5">
        <w:rPr>
          <w:b/>
        </w:rPr>
        <w:t xml:space="preserve">, </w:t>
      </w:r>
      <w:r>
        <w:rPr xmlns:w="http://schemas.openxmlformats.org/wordprocessingml/2006/main">
          <w:b/>
          <w:szCs w:val="24"/>
        </w:rPr>
        <w:t>de 21 de septiembre de 2020</w:t>
      </w:r>
    </w:p>
    <w:p w:rsidR="008B7AB5" w:rsidP="006C4509" w:rsidRDefault="008B7AB5">
      <w:pPr>
        <w:jc w:val="left"/>
      </w:pPr>
    </w:p>
    <w:p w:rsidRPr="003F54DF" w:rsidR="00AD51A7" w:rsidP="009B65D7" w:rsidRDefault="008777C4">
      <w:pPr>
        <w:rPr>
          <w:b/>
        </w:rPr>
      </w:pPr>
      <w:r>
        <w:rPr xmlns:w="http://schemas.openxmlformats.org/wordprocessingml/2006/main">
          <w:szCs w:val="24"/>
        </w:rPr>
        <w:t>La Sala Segunda del Tribunal Constitucional compuesta por la magistrada doña Encarnación Roca Trías, presidenta; los magistrados don Juan Antonio Xiol Ríos, don Antonio Narváez Rodríguez y don Ricardo Enríquez Sancho, en el recurso de amparo núm. 6041-2019, promovido por Euroinversiones Inmobiliarias Costa Sur, S.L., ha dictado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Con fecha 23 de octubre de 2019 tuvo entrada en el registro general del Tribunal Constitucional un escrito de la procuradora doña Blanca Berriatua Horta, en representación de la entidad Euroinversiones Inmobiliarias Costa Sur, S.L., por el que interpuso recurso de amparo contra el auto de 16 de septiembre de 2019 del Juzgado de Primera Instancia e Instrucción núm. 4 de Lorca, que desestima el recurso de reposición interpuesto por la ahora actora frente al auto de 15 de noviembre de 2018, que inadmitió por extemporánea la demanda de oposición presentada en el seno de la ejecución hipotecaria 351-2018, promovida por Banco de Sabadell, S.A.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Los hechos relevantes para la resolución de esta pieza de suspensión, son los siguientes: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 Con fecha 15 de noviembre de 2018, el Juzgado de Primera Instancia e Instrucción núm. 4 de Lorca dictó un auto en el procedimiento de ejecución hipotecaria núm. 351-2018 por el que acordó: “Inadmitir a trámite la oposición formulada por la parte ejecutada Euroinversiones Inmobiliarias Costa Sur, S.L., […], por estar presentada fuera de plazo”, advirtiendo en pie de recurso que contra dicha resolución cabía recurso de apelación (sic).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El juzgado basó su decisión, conforme a su fundamento de Derecho único, en lo siguiente: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“Se establece en el artículo 134 de la L.E.C., la improrrogabilidad de los plazos establecidos en la misma, y en el artículo 136 LEC, que transcurrido o pasado el término señalado para la realización de un acto procesal de parte se producirá la preclusión y se perderá la oportunidad de realizar el acto de que se trate.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Establece el artículo 695 LEC, que la parte ejecutada pueda oponerse al despacho de ejecución en los términos de dicho artículo y en el plazo de diez días a contar desde el siguiente a la notificación del auto y del decreto. Constando en el presente supuesto que la parte ejecutada se ha opuesto una vez transcurrido el plazo que legalmente se le otorga, debe ser inadmitida su oposición por extemporánea, de conformidad con lo establecido en los preceptos citados”.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b) Formalizado contra dicho auto recurso de reposición por la entidad aquí demandante de amparo, el juzgado a quo dictó auto el 16 de septiembre de 2019 desestimándolo, con confirmación de la resolución recurrida, en virtud de los motivos expresados en su fundamento de Derecho único.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Tras señalar que para el cómputo del plazo de presentación de la oposición “debe tenerse en cuenta la fecha en la que efectivamente tuvo la parte posibilidad de acceder” a las resoluciones judiciales impugnadas, considera que en este caso “resulta la correcta recepción de la notificación en fecha 3 de julio de 2018, fecha en la que se materializó la “puesta a disposición” de la notificación correctamente y del propio documento resulta que pasaron más de tres días desde la misma sin que se hubiera accedido al contenido hasta el día 3 de agosto de 2018, por tanto, en aplicación estricta de lo dispuesto en el apartado segundo del art. 162 LEC, sin que se haya justificado por el recurrente una imposibilidad de acceder al sistema en este plazo. Por todo ello debe ser desestimado el recurso interpuesto, al ser el auto recurrido plenamente ajustado a Derecho, al inadmitir un escrito que fue presentado fuera de plazo cuando ya había precluído la posibilidad de hacerlo”.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El auto traía el siguiente pie de recurso: “Contra este auto no cabe recurso alguno, sin perjuicio de reproducir la cuestión objeto de la reposición al recurrir, si fuera posible, la resolución definitiva (artículo 454 LEC)”.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La demanda de amparo alega que las resoluciones judiciales impugnadas causan la vulneración de los derechos a la tutela judicial efectiva (art. 24.1 CE) y a un proceso con todas las garantías (art. 24.2 CE) de la entidad recurrente, al haberse efectuado su emplazamiento como ejecutada en el procedimiento hipotecario de referencia, a través de un correo electrónico remitido por un servicio de notificaciones electrónicas, tratándose de su primer emplazamiento judicial.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Se reconoce que si bien la recurrente, por ser una persona jurídica, viene por ello obligada a relacionarse con la administración de justicia a través de medios electrónicos, no obstante cuando es el primer emplazamiento y por tanto todavía aquélla “no ha tenido ninguna relación con el juzgado correspondiente en este especial y concreto procedimiento”, ha de practicarse mediante cédula con entrega en papel de la documentación correspondiente, conforme establece el art. 273 de la Ley de enjuiciamiento civil (LEC), en relación con los arts. 135, 152, 162 y 155 LEC. Este último, precisa, “es categórico al respecto, ya que en su punto primero nos indica que cuando las partes no actúen representadas por procurador o se trate del primer emplazamiento o citación al demandado, los actos de comunicación se harán por remisión al domicilio de los litigantes”. Añade que incluso la notificación realizada tampoco cumple con las formalidades de las comunicaciones electrónicas. Pese a todo esto, el auto dictado por el juzgado el 15 de noviembre de 2018 declaró extemporánea la presentación del escrito de oposición, computando el plazo de diez días desde la fecha de envío de aquel correo a través de la dirección electrónica habilitada.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Sobre el auto de 16 de septiembre de 2019, que desestimó la reposición, se reiteran los argumentos ya expuestos, que no fueron atendidos por el juzgado al dar por válida la notificación efectuada a través de la dirección electrónica habilitada.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En consecuencia, se solicita que este Tribunal Constitucional, con estimación del amparo, acuerde la nulidad de ambas resoluciones judiciales y ordene reponer las actuaciones al momento previo al dictado de la primera de aquéllas, a fin de que el juzgado a quo admita a trámite la “demanda de oposición al despacho de ejecución formulada por mi representada”.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Por medio de un “segundo otrosí digo”, el escrito de demanda argumentó “que la continuación de la ejecución derivadas (sic) de los pronunciamientos judiciales que han sido objeto de impugnación, con la celebración de subasta y la eventual adjudicación a terceros, pueden hacer perder al recurso de amparo su finalidad, por lo que solicito la suspensión de la continuación del procedimiento de ejecución hipotecaria 351-2018 seguido ante el Juzgado de Primera Instancia e Instrucción núm. 4 de Lorca, hasta tanto sea resuelto el presente recurso de amparo, poniéndolo en conocimiento del órgano judicial”.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La Sala Segunda, Sección Cuarta, de este Tribunal Constitucional, dictó providencia el 20 de julio de 2020, del siguiente tenor:</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“La Sección Cuarta ha examinado el recurso de amparo y ha acordado admitirlo a trámite, apreciando que concurre en el mismo una especial trascendencia constitucional (art. 50.1 LOTC) toda vez que el recurso puede dar ocasión al tribunal para aclarar o cambiar su doctrina, como consecuencia de cambios normativos relevantes para la configuración del contenido del derecho fundamental [STC 155/2009, FJ 2 b)].</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Por ello, en aplicación de lo dispuesto en el art. 51 LOTC, obrando ya en esta Sala testimonio de las correspondientes actuaciones jurisdiccionales, diríjase atenta comunicación al Juzgado de Primera Instancia e Instrucción núm. 4 de Lorca a fin de que se proceda a emplazar a quienes hubieran sido parte en el procedimiento, excepto la parte recurrente en amparo, para que en el plazo de diez días puedan comparecer, si lo desean, en el presente recurso de amparo.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Fórmese la oportuna pieza separada para la tramitación de la suspensión interesada”.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Por nueva providencia dictada por la Sección Cuarta de este tribunal en la misma fecha de la admisión del recurso, el 20 de julio de 2020, se dispuso “formar con la precedente fotocopia, la oportuna pieza para la tramitación del incidente sobre suspensión y conforme determina el artículo 56 de la Ley Orgánica de este Tribunal, conceder un plazo común de tres días a la parte recurrente y al Ministerio Fiscal para que aleguen lo que estimen pertinente sobre dicha suspensión”.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La representación procesal de la entidad recurrente presentó su escrito de alegaciones con fecha 30 de julio de 2020, interesando se acceda a lo solicitado en cuanto a la suspensión del procedimiento de ejecución hipotecaria referido.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 tal efecto alega que la continuación de tal procedimiento, “con la celebración de subasta y la eventual adjudicación a terceros […] harían perder al recurso de amparo su finalidad y provocarían perjuicios patrimoniales para mi representada de imposible o difícil reparación”. Tras reiterar los argumentos expuestos en la demanda de amparo, cita en apoyo de su pretensión lo resuelto por este tribunal en sus AATC 21/2018, de 5 de marzo; 58/2018, de 4 de junio, y 117/2018, de 29 de octubre.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7. Por su parte, el fiscal ante este Tribunal Constitucional formalizó su escrito de alegaciones en esta pieza el 1 de septiembre de 2020, interesando que se adopte únicamente la medida de anotación preventiva de la demanda de amparo.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Tras citar el art. 56 de la Ley Orgánica del Tribunal Constitucional (LOTC), expone la doctrina de este tribunal sobre la cuestión planteada, concluyendo que ese precepto “responde, en definitiva, a criterios racionales de equilibrio entre los intereses del recurrente, los generales de la sociedad y los derechos de terceros, que en cada supuesto han de ser valorados”. Más en concreto, “dicha ponderación ha llevado a este tribunal a establecer, como criterio general, el de que no procede suspender la ejecución de aquellos fallos judiciales que admiten la restitución íntegra de lo ejecutado (como de ordinario ocurre, aunque no sin excepciones, en las condenas de contenido patrimonial). Por el contrario, cuando la condena entraña un perjuicio para los derechos fundamentales del recurrente en amparo de imposible o muy difícil reparación, como sucede, en principio, con las condenas a penas privativas de libertad y de derechos, entonces lo procedente será acordar la suspensión de las mismas siempre que concurran los demás requisitos establecidos por el art. 56 LOTC, esto es, que no se siga perturbación grave del interés general ni de los derechos fundamentales de un tercero. Pero tampoco las condenas de contenido patrimonial pueden quedar absolutamente marginadas de la posibilidad de suspenderse, sino que habrá que valorar en estos casos, con especial énfasis, que no se produzca perjuicio para el interés general, lo que normalmente no ocurrirá en los pleitos puramente civiles, y de manera más concreta, que no se acabe implicando los derechos presentes o futuros de terceros que puedan acabar perjudicados”.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En el presente caso, el Ministerio Fiscal considera que la petición de suspensión solicitada comportaría “la drástica medida [de] paralización del procedimiento ejecutivo, que por su propia naturaleza goza de las características de celeridad y sumariedad”. Por ello, entiende que sería “mucho más eficaz […] la anotación preventiva de la demanda de amparo en el registro de la propiedad, ya que de esta manera se daría publicidad frente a terceros de la pendencia del recurso, lo que conlleva el conocimiento de los efectos que sobre la titularidad de la vivienda puede tener el otorgamiento del amparo, en su caso, evitando que el hipotético tercero adquirente quede especialmente protegido por su buena fe en la adquisición”. Cita en apoyo de su petición el art. 56.3 LOTC, que permite al tribunal adoptar toda medida que evite que el recurso de amparo pueda perder su finalidad, así como el ATC 95/2015, de 25 de mayo ,FJ 4, con reproducción parcial literal. Finaliza señalando que esta medida de anotación preventiva “haría que lo que consta en el registro de la propiedad fuera fiel reflejo de la realidad, evitando situaciones cuya reversibilidad deviniera poco menos que imposible”.</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El objeto de esta pieza de suspensión consiste en determinar la procedencia o no de la medida cautelar instada por la parte recurrente en amparo y dirigida frente al procedimiento de ejecución hipotecaria núm. 351-2018 seguido en el Juzgado de Primera Instancia e Instrucción núm. 4 de Lorca.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El art. 56.2 LOTC, en la redacción dada por Ley Orgánica 6/2007, de 24 de mayo, dispone que “cuando la ejecución del acto o sentencia impugnados produzca un perjuicio al recurrente que pudiera hacer perder al amparo su finalidad, la Sala, o la Sección en el supuesto del artículo 52.2, de oficio o a instancia del recurrente, podrá disponer la suspensión, total o parcial, de sus efectos, siempre y cuando la suspensión no ocasione perturbación grave a un interés constitucionalmente protegido, ni a los derechos fundamentales o libertades de otra persona”.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Esta regulación ofrece una configuración de la suspensión como una medida de carácter excepcional y de aplicación restrictiva (por todos, AATC 117/2015, de 6 de julio, FJ 1, y 59/2017, de 24 de abril, FJ 1).</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Adicionalmente, este tribunal viene exigiendo a quien solicita la adopción de la medida cautelar de suspensión del acto o resolución judicial recurrido que alegue o justifique, ofreciendo un principio razonable de prueba, el carácter no reparable o la dificultad de la reparación de los perjuicios derivados de seguirse la ejecución del acto impugnado, y ello, con el objeto de mostrar que la ejecución del acto recurrido puede privar a la demanda de amparo de su finalidad, provocando que el restablecimiento del recurrente en el derecho constitucional vulnerado sea tardío y convirtiendo en meramente ilusorio y nominal el amparo [AATC 90/2014, de 27 de marzo, FJ 1; 190/2015, de 5 de noviembre, FJ 2 a); 59/2017, de 24 de abril, FJ 1, y 147/2017, de 13 de noviembre, FJ 1].</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Interesa subrayar que una consolidada doctrina constitucional, de la que son buena muestra, entre otros muchos, los AATC 220/2008, de 14 de julio, FJ 2, y 64/2009, de 23 de febrero, FJ 2, o los más recientes AATC 56/2013, de 25 de febrero, FJ 2; 74/2013, de 8 de abril, FJ 2; 152/2013, de 8 de julio, FJ 2; 37/2014, de 10 de febrero, FJ 2; 282/2014, de 17 de noviembre, FJ 3, y 59/2015, de 16 de marzo, FJ 2, ha admitido la procedencia de acordar la suspensión de aquellas resoluciones judiciales cuya “ejecución conlleva el embargo y adjudicación a un tercero de buena fe de ciertos bienes inmuebles o el desalojo de viviendas o locales de negocio y, en general, la transmisión del dominio sobre aquéllos, con la consiguiente consolidación de una posición jurídicamente inatacable o de muy difícil y costoso restablecimiento”.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La aplicación al caso aquí planteado de la doctrina mencionada permite concluir, de acuerdo con el fiscal, que resulta improcedente la suspensión solicitada y, por el contrario, aparece como medida idónea la anotación preventiva de la demanda de amparo en el registro de la propiedad.</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La parte recurrente se limita a poner de manifiesto, genéricamente, que la eventual adjudicación a terceros puede hacer perder al recurso de amparo su finalidad, sin añadir indicación alguna sobre la situación y circunstancias de dicha entidad mercantil, como tampoco sobre las características, destino y estado posesorio del inmueble hipotecado. En tales circunstancias, no es posible afirmar que la continuación del curso del procedimiento judicial, incluso con un desplazamiento posesorio, provoque por sí solo un perjuicio determinante de la pérdida de la finalidad del presente recurso de amparo.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Por el contrario, el tribunal entiende que las circunstancias que presenta el supuesto sometido a consideración llevan a estimar la procedencia de acordar, de modo alternativo, la medida cautelar de anotación preventiva de la demanda de amparo en el registro de la propiedad, en cuanto se reputa medida idónea para evitar el perjuicio derivado de que la adquisición del bien por un tercero de buena fe lo hiciera irreivindicable, situación a la que se hace referencia en la demanda.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Esta misma ha sido la solución acogida, entre otros, en los AATC 106/2017, de 17 de julio, FJ 3; 88/2018, de 17 de septiembre, FJ 5; 2/2019, de 9 de enero, FJ 4, o 177/2019, de 16 de diciembre.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Cabe recordar que se trata de una medida cautelar que este tribunal, de conformidad con el art. 56 LOTC, puede adoptar de oficio o a instancia de parte, con fundamento en el art. 42.1 de la Ley hipotecaria, y que, de acuerdo con el ATC 95/2015, de 25 de mayo, FJ 4, “una de [sus] finalidades es que el registro de la propiedad sea fiel trasunto de la realidad jurídica —en este caso, la pendencia del presente proceso constitucional— y, por ende, un eficaz instrumento de seguridad jurídica (ATC 18/2012, de 30 de enero, FJ 4. En la misma línea, AATC 282/2014, de 17 de noviembre, FJ 5; 29/2015, de 16 de febrero, FFJJ 3 y 4; 50/2015, de 2 de marzo, FJ 4, y 59/2015, de 16 de marzo, FJ 3)”.</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Nuestra decisión en esta materia se limita, en tal sentido, “a ordenar que se practique la anotación preventiva, remitiendo al órgano judicial la práctica de las actuaciones pertinentes para que pueda llevarse a efecto la medida, de conformidad con la legislación procesal e hipotecaria (AATC 257/2003, de 14 de julio; 406/2003, de 15 de diciembre; 230/2007, de 7 de mayo, FJ 3; 415/2007, de 5 de noviembre, FJ 4, y 217/2012, de 26 de noviembre, FJ 2)” (AATC 21/2018, de 5 de marzo, FJ 5, y 88/2018, de 17 de septiembre, FJ 5).</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Los razonamientos anteriores, de conformidad con la doctrina expuesta, y sin prejuzgar la decisión de fondo del recurso, conducen a denegar la suspensión solicitada, y, alternativamente, a ordenar la anotación preventiva de la demanda de amparo en el registro de la propiedad.</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lo expuesto, la Sala</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AD51A7" w:rsidRDefault="008777C4">
      <w:pPr>
        <w:rPr/>
      </w:pPr>
      <w:r w:rsidRPr="&lt;w:rPr xmlns:w=&quot;http://schemas.openxmlformats.org/wordprocessingml/2006/main&quot;&gt;&lt;w:szCs w:val=&quot;24&quot; /&gt;&lt;/w:rPr&gt;">
        <w:rPr/>
        <w:t xml:space="preserve">1º Denegar la suspensión cautelar solicitada del procedimiento de ejecución hipotecaria núm. 351-2018 seguido en el Juzgado de Primera Instancia e Instrucción núm. 4 de Lorca.</w:t>
      </w:r>
    </w:p>
    <w:p w:rsidRPr="" w:rsidR="00AD51A7" w:rsidRDefault="008777C4">
      <w:pPr>
        <w:rPr/>
      </w:pPr>
      <w:r w:rsidRPr="&lt;w:rPr xmlns:w=&quot;http://schemas.openxmlformats.org/wordprocessingml/2006/main&quot;&gt;&lt;w:szCs w:val=&quot;24&quot; /&gt;&lt;/w:rPr&gt;">
        <w:rPr/>
        <w:t xml:space="preserve"/>
      </w:r>
    </w:p>
    <w:p w:rsidRPr="" w:rsidR="00AD51A7" w:rsidRDefault="008777C4">
      <w:pPr>
        <w:rPr/>
      </w:pPr>
      <w:r w:rsidRPr="&lt;w:rPr xmlns:w=&quot;http://schemas.openxmlformats.org/wordprocessingml/2006/main&quot;&gt;&lt;w:szCs w:val=&quot;24&quot; /&gt;&lt;/w:rPr&gt;">
        <w:rPr/>
        <w:t xml:space="preserve">2º Ordenar la anotación preventiva de la demanda de amparo en el registro de la propiedad, a cuyo efecto el referido juzgado ha de expedir el mandamiento oportuno, para que pueda practicarse la misma en relación con el inmueble a que se refieren las presentes actuaciones.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veintiuno de septiembre de dos mil veinte.</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