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los magistrados don Juan Antonio Xiol Ríos, don Antonio Narváez Rodríguez y don Ricardo Enríquez Sancho, en el recurso de amparo núm. 6502-2019,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noviembre de 2019, tuvo entrada en el registro general de este Tribunal Constitucional un escrito de la procuradora doña Blanca Berriatua Horta, en representación de la entidad Euroinversiones Inmobiliarias Costa Sur, S.L., por el que interpuso recurso de amparo contra el auto de 10 de enero de 2019 del Juzgado de Primera Instancia e Instrucción núm. 5 de Lorca, que inadmitió el escrito de oposición a la ejecución hipotecaria promovida por Banco de Sabadell, S.A.; y contra el auto del mismo juzgado, de 23 de septiembre de 2019, que desestimó el recurso de reposición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10 de enero de 2019, el juzgado de primera instancia e instrucción ya indicado dictó un auto en el procedimiento de ejecución hipotecaria núm. 355-2018 por el que acordó: “Inadmitir a trámite la oposición formulada por la parte ejecutada Euroinversiones Inmobiliarias Costa Sur, S.L., […] por estar presentada fuera de plazo”, advirtiendo en pie de recurso que contra dicha resolución cabía recurso de reposición. 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23 de septiembre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Ley de procedimiento administrativo común de las administraciones públicas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afirmar que “[i]nterpretan las recurrentes de forma errónea la normativa aplicable”, con cita de los arts. 162.2 LEC, 33.2 y 34 de la Ley 18/2011, de 5 de julio, reguladora del uso de las tecnologías de la información y comunicación en la administración de justicia, y el art. 11.2 del Real Decreto 1065/2015, de 27 de noviembre, sobre comunicaciones electrónicas en la administración de justicia y en el ámbito territorial del Ministerio de justicia y por el que se regula el sistemas Lexnet; y referirse al acuerdo no jurisdiccional del Pleno de la Sala Cuarta del Tribunal Supremo de 6 de julio de 2016, acerca del cómputo del plazo de tres días del art. 162.2 LEC, así como a un informe del Colegio de Registradores de la Propiedad en relación con las notificaciones electrónicas, el juzgado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15/06/2018 no accediendo al contenido hasta el día 25/07/2018 (fuera de los diez días que establece la normativa procesal), presentando los escritos de oposición a la ejecución en fecha 31/07/2018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Ley de enjuiciamiento civil.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10 de enero de 2019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es importante hacer mención a la “recientísima sentencia del Tribunal Constitucional STC 47/2019, de 8 de abril de 2019, que no solo confirma todo lo dicho hasta ahora en el presente recurso de amparo, sino que lo refuerza, en el sentido de que en modo alguno debe entenderse que, tratándose del emplazamiento, este no se efectúe en el domicilio como impone el artículo 155.1 LEC”, sin que a ello obste la argumentación dada por el auto que inadmite la oposición; pasando a reproducir pasajes de los fundamentos jurídicos 2 a 5 de dicha STC 47/2019.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23 de septiembre de 2019 que desestimó la reposición, se rechaza por la recurrente que los preceptos citados por el juzgado fundamenten su decisión, en cuanto “no es menos cierto que, en ningún precepto de la Ley de enjuiciamiento civil se diga que al proceso civil se le aplican las normas del proceso administrativo, ni existe ningún precepto en ninguna otra norma que otorgue a la normativa del proceso administrativo el mismo rango o aplicabilidad que puedan tener la norma procesal civil, la penal, la contencioso-administrativa o la social, que disponen de regulación específica a través de normas concretas, puesto que, mientras la administrativa regula un tipo de procedimiento específico, las otras hacen referencia a procesos que se plantean ante tribunales de justicia, que aunque forman parte de la ‘administración’, tienen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 hacer perder al recurso de amparo su finalidad, por lo que solicito la suspensión de la continuación del procedimiento de ejecución hipotecaria 355-2018 seguido ante el Juzgado de Primer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Sala Segunda, de este Tribunal Constitucional, dictó diligencia de ordenación el 21 de noviembre de 2019 solicitando al juzgado a quo la remisión de certificación o fotocopia adverada de las actuaciones correspondientes del procedimiento de ejecución hipotecaria núm. 355-2018.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dictó providencia el 29 de junio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o bien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Diríjase atenta comunicación a Juzgado de Primera Instancia e Instrucción núm. 5 de Lorca a fin de que, en plazo que no exceda de diez días, emplace, y toda vez que ya constan recibidas las actuaciones de instancia, se emplace a quienes hubieren sido parte en el procedimiento, excepto la parte recurrente en amparo, para que en el plazo de diez días puedan comparecer, si lo desean,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nueva providencia dictada por la Sección Cuarta de este tribunal en la misma fecha de la admisión del recurso, el 29 de junio de 2020, se dispuso “formar con el precedente testimonio la presente pieza separada de suspensión y, de conformidad con lo prevenido en el art. 56 de la Ley Orgánica del Tribunal Constitucional (LOTC),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entidad recurrente presentó su escrito de alegaciones con fecha 9 de julio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sus AATC 21/2018 de 5 de marzo, y 58/2018 de 4 de junio, reiterando a renglón seguido las vulneraciones constitucionales de fondo que aduce en su demanda, e indicando que de no adoptarse la medida y “seguir adelante la ejecución podría producirse la transmisión irrecuperable del dominio del bien inmueble, creando una situación difícilmente reversible que menoscabaría los fines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fiscal ante este Tribunal Constitucional formalizó su escrito de alegaciones en esta pieza el 15 de julio de 2020, interesando que adoptemos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 LOTC y doctrina general sobre la procedencia de la suspensión del acto impugnado en amparo, señala que este tribunal ha establecido como criterio general, “que no procede suspender la ejecución de aquellos fallos judiciales que admiten la restitución íntegra de lo ejecutado (como de ordinario ocurre, aunque no sin excepciones, en las condenas de contenido patrimonial)”. Que no obstante ello, “tampoco las condenas de contenido patrimonial pueden quedar absolutamente marginadas de la posibilidad de suspenderse,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Aplicando la doctrina a la solicitud formulada por la recurrente, se entiende por el fiscal que la misma “no parece muy fundamentada […] ya que se limita a la mera petición sin explicitar ninguna razón salvo la mera pérdida de finalidad del recurso en el caso de que llegara a celebrarse la subasta de los bienes inmuebles en conflicto y su adjudicación a un tercero que actuaría de buena fe. Acordar la suspensión solicitada comportaría la drástica medida que supondría la paralización del procedimiento ejecutivo, que por su propia naturaleza goza de las características de celeridad y sumariedad. Mucho más eficaz para conseguir el efecto protector deseado por la recurrente sería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no tiene dudas de que este tribunal puede acordar dicha medida, ex art. 56.3 LOTC, conforme tiene establecido nuestra doctrina, con cita del ATC 95/2015, de 25 de mayo, FJ 4. Entiende que “nos encontramos en uno de esos supuestos en que tratándose de un (sic)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355-2018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donde se plantearon los mismos argumentos que aquí para solicitar la suspensión por la otra entidad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 en relación con el presente recurso de amparo instado por la entidad Euroinversiones Inmobiliarias Costa Sur, S.L.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355-2018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