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1562-2020, promovido por don Patrice Runner,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9 de septiembre de 2020, el fiscal ante el Tribunal Constitucional interpone recurso de súplica contra la providencia del 20 de julio anterior de la Sección Segunda del Tribunal Constitucional, que acordó no admitir a trámite el recurso de amparo núm. 1562-2020 interpuesto por don Patrice Runner.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don Patrice Runner, es el extraditurus del procedimiento de extradición 58-2018 del Juzgado Central de Instrucción núm. 1. El procedimiento termina con el auto núm. 25/2019, de 15 de julio, de la Sección Cuarta de la Sala de lo Penal de la Audiencia Nacional, que accede a la extradición del reclamado, acordando la entrega a las autoridades judiciales de Estados Unidos de América. El recurrente presenta un incidente de nulidad de actuaciones, que es inadmitido a trámite por providencia de 9 de enero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Consejo de Ministros, en su sesión de 21 de enero de 2020, aprueba la entrega en extradición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adquirir firmeza el auto de 15 de julio de 2019, habiendo finalizado las fases judicial y gubernativa, para garantizar la entrega del demandante de amparo, la indicada Sección Cuarta abre pieza de situación personal y, mediante auto de 27 de enero de 2020, ordena la detención e ingreso en prisión del reclamado. Interpuesto recurso de súplica es desestimado por auto del 4 de febrero siguiente de la misma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amparo impugna formalmente la decisión (auto de 27 de enero de 2020, confirmado por auto del 4 de febrero siguiente, ambos de la Sección Cuarta de la Sala de lo Penal de la Audiencia Nacional) que ordenó la detención e ingreso en prisión del reclamado para materializar la entrega previamente acordada por resolución firme (auto de 15 de julio de 2019 del mismo órgano judicial). No obstante, de acuerdo con las alegaciones formuladas, las vulneraciones que se denuncian resultarían de la improcedencia de la extradición acordada: violación del principio de presunción de inocencia (art. 24.2 CE), porque las autoridades estadounidenses no habrían acreditado la vinculación del recurrente con el entramado de empresas; vulneración del derecho a la tutela judicial efectiva (art. 24.1 CE), habida cuenta de que el órgano judicial no habría justificado la participación del recurrente en las empresas del entramado ni que hubiese cobrado pagos de ellas; vulneración del derecho a utilizar los medios de prueba pertinentes (art. 24.2 CE), porque el órgano judicial habría accedido a la entrega sin tomar en consideración un documento acreditativo de que el recurrente abandonó en 2002 la sociedad Zodiac Zone; vulneración del principio de doble incriminación (art. 25.1 CE), porque la venta de “objetos mágicos” y la realización de horóscopos no sería constitutiva de estafa; vulneración del principio in dubio pro reo (art. 24.2 CE) porque el mero hecho de utilizar empresas (una para recibir objetos, otra para recibir dinero y otra para enviar objetos y cartas de vuelta) no conllevaría necesariamente un carácter fraudulento y porque los hechos estarían prescritos, al estar acreditado que el recurrente abandonó el entramado en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27 de julio de 2020, la Sección Segunda del Tribunal Constitucional acuerda inadmitir a trámite el recurso de amparo toda vez que ha sido presentado fuera de plazo [arts. 50.1 a) y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recurso de súplica del Ministerio Fiscal, la demanda de amparo se habría presentado dentro del plazo de treinta días (art. 44.2 LOTC), computados a partir de la notificación del auto de 4 febrero de 2020 de la Sección Cuarta de la Sala de lo Penal de la Audiencia Nacional, que confirma el de 27 de enero de 2020 del mismo órgano judicial, que ordenó la detención e ingreso en prisión del demandante de amparo a fin de materializar la entrega previamente acordada. Según se afirma, el plazo expiraba el 18 de marzo de 2020, habiéndose presentado la demanda con anterioridad (el 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17 de septiembre de 2020, el demandante de amparo muestra su completo acuerdo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auto es resolver el recurso de súplica formulado por el Ministerio Fiscal contra la providencia de esta sección de 20 de julio de 2020, que acordó inadmitir por extemporáneo el recurso de amparo núm. 1562-2020. Según el Ministerio Fiscal, la demanda de amparo se habría presentado dentro del plazo de treinta días (art. 44.2 LOTC), computados a partir de la notificación del auto de 4 febrero de 2020 de la Sección Cuarta de la Sala de lo Penal de la Audiencia Nacional, confirmatorio del de 27 de enero de 2020 del mismo órgano judicial, que ordenó la detención e ingreso en prisión del recurrente a fin de materializar la entrega extradicional previamente acordada mediante resolución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aunque formalmente dirigida a las resoluciones judiciales que acuerdan y confirman el ingreso en prisión del recurrente, se contrae a cuestionar la decisión judicial firme que acordó la entrega extradicional (auto núm. 25/2019, de 15 de julio, de la Sección Cuarta de la Sala de lo Penal de la Audiencia Nacional). Con ocasión de la tramitación de la pieza de situación personal, el demandante de amparo pretende así a destiempo reabrir un debate ya resuelto mediante la citada resolución y la providencia de 9 de enero de 2020 del mismo órgano judicial, que inadmitió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 pues, desestimar el recurso de súplica y, consecuentemente, confirmar la providencia de esta sección de 20 de julio de 2020.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la Sección Segunda de la Sala Primera de 20 de julio de 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