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30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3541-2019, promovido por Penrei Inversiones, S.L., contra el auto del Juzgado de Primera Instancia e Instrucción núm. 5 de Lorca, de 23 de abril de 2019, que desestimó el recurso de reposición interpuesto contra el auto, también impugnado, de fecha 21 de septiembre de 2018, por el que se inadmitió por extemporánea la demanda de oposición a la ejecución formulada por dicha mercantil en el procedimiento de ejecución hipotecaria núm. 382-2018, instado por la entidad Banco de Sabadell, S.A. Ha intervenido el Ministerio Fiscal. Se ha personado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6 de junio de 2019, la procuradora de los tribunales doña Blanca Berriatua Horta, actuando en nombre y representación de Penrei Inversiones, S.L., bajo la defensa de la letrada doña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 ahora recurrente de amparo, en su calidad de titular del derecho de uso sobre la finca registral 43.431, inscrita en el Registro de la Propiedad núm. 3 de Lorca. Incoado procedimiento de ejecución hipotecaria (núm. 382-2018), mediante auto de fecha 8 de junio de 2018, el Juzgado de Primera Instancia e Instrucción núm. 5 de Lorca (en adelante, el juzgado) ordenó la ejecución del título hipotecario, despachó ejecución contra otra entidad y contra la ahora demandante de amparo y dispuso, a continuación,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este auto no cabe recurso alguno, sin perjuicio de que la parte ejecutada pueda oponerse al despacho de ejecución en los términos previstos en el artículo 695 de la LEC y en el plazo de diez días a contar desde el siguiente a la notificación del presente auto y del decreto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citada notificación se produjo a través del servicio de notificaciones electrónicas de la Fábrica Nacional de Moneda y Timbre. Más en concreto, el servicio remitió el 13 de junio de 2018 un correo electrónico en el que señalaba como asunto “Juzgados y Tribunales – Aviso de Notificación para el NIF B73836173”, dirigida a Penrei Inversiones, S.L. – NIF B73836173. Según el texto del correo, la notificación venía referida al asunto “JDO. 1 INST. E INSTR. N 5 DE LORCA EJH/0000382/2018”, indicándole que la “notificación estará disponible en su dirección electrónica habilitada única desde el 13-06-2018 hasta el 29-07-2018. Si no procediera a su lectura en el plazo indicado se producirán los efectos correspondientes, según la normativa aplicable”. Más adelante se añadía que “independientemente del tiempo que tenga a su disposición el acto de comunicación, transcurridos tres días hábiles desde su puesta a su disposición sin que el destinatario haya accedido a su contenido, se entenderá que la comunicación ha sido efectuada legalmente desplegando todos sus efectos, conforme con lo establecido en el art. 162.2 de la LEC”, para finalizar señalando que este “aviso conforme a lo dispuesto en el art. 25 del RD 1065/2015 no tiene efecto procesal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certificación emitida por el servicio de notificaciones electrónicas y dirección electrónica habilitada también consta que la notificación tenía como número de referencia el 5b21627144e24, que fue puesta a disposición del destinatario el 13 de junio de 2018 y que la fecha de aceptación fue el 24 de julio de 2018, figurando como certificado digital receptor el correspondiente a don José Luis Reverte, en su calidad de representante de la citada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escrito presentado ante el juzgado el día 31 de julio de 2018, la demandante de amparo compareció en el procedimiento, formulando oposición a la ejecución, con su documentación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21 de septiembre de 2018, el juzgado dictó un auto por el que se acordó: “Inadmitir a trámite la oposición formulada por la parte ejecutada […] Penrei Inversiones, S.L., […] por presentación fuera de plazo, contra Banco Sabadell, S.A.”, advirtiendo en pie de recurso que contra dicha resolución cabía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 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Formalizado recurso de reposición, el juzgado dictó un nuevo auto el 23 de abril de 2019, por el que se desestimó el recurso, conforme a los motivos expuestos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afirmar que los recurrentes interpretan de forma errónea la normativa aplicable, se citan los arts. 162.2 de la Ley de enjuiciamiento civil (LEC); 33.2 y 34 de la Ley 18/2011, de 5 de julio; 11.2 del Real Decreto 1065/2015, de 27 de noviembre; y el acuerdo no jurisdiccional del Pleno de la Sala Cuarta del Tribunal Supremo de 6 de julio de 2016, para concluir afirmando la “validez [de] la notificación a personas jurídicas por canales electrónicos”.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“en el presente caso, consta que la notificación se puso a disposición de las recurrentes en fecha 13/06/18 no accediendo al contenido hasta el día 24/07/18 […], presentando los escritos de oposición a la ejecución en fecha 31/07/18, claramente fuera del plazo legalmente establecido en el art. 556.1 de la LEC (dentro de los diez días siguientes al de la notificación del auto despachando ejecución,) y siendo que conforme al art. 136 de la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auto fue notificado en fecha 26 de abril de 2019 y, junto con el auto de 21 de septiembre de 2018, es el objeto del presente recurso interpuesto por la citada entidad Penrei Inversiones,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reconoce que, por ser una persona jurídica, viene obligada a relacionarse con la administración de justicia a través de medios electrónicos. Aclara, no obstante, que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Además, su entidad nunca facilitó una dirección de correo electrónico a efectos de notificaciones telemáticas y, a pesar de ello, se le remitió un aviso que no permitía conocer realmente el objeto del asunto.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 23 de abril de 2019,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expresa de la doctrina de este tribunal sobre la relevancia de los actos de comunicación procesal desde la perspectiva del derecho a la tutela judicial efectiva (entre otras, SSTC 115/1988, 195/1990 y 326/1993), finaliza solicitando que, con estimación del amparo, se acuerde la nulidad de los autos de 21 de septiembre de 2018 y de 23 de abril de 2019, “reconociendo el derecho individual de Penrei Inversiones, S.L., a obtener una resolución con respeto al derecho a la tutela judicial efectiva, y la nulidad de actuaciones y reposición de todo al momento previo a dictarse el auto de fecha 21 de septiembre de 2018, para que resuelva conforme a Derecho, admitiendo a trámite la demanda de oposición al despacho de ejecución” formulada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382-2018 seguido ante el Juzgado de Primera Instancia e Instrucción núm. 5 de Lorca, hasta tanto sea resuelto el presente recurso de amparo, poniéndolo en conocimiento del órgano judicial”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25 de noviembre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porque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5 de Lorca, a fin de que proceda a “emplazar a quienes hubieran sido parte en el procedimiento” de origen, excepto a la “recurrente en amparo”, para poder comparecer en el presente proceso constitucional en el plazo de diez días; y (iii) formar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dictada por la Sección Cuarta de este tribunal en la misma fecha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 Este traslado fue cumplimentado por la parte recurrente, mediante escrito de fecha 3 de diciembre de 2019, en el que se ratificó en su petición inicial. Por su parte, el Ministerio Fiscal presentó informe en fecha 10 de diciembre de 2019, en el que interesó que se adoptara únicamente la medida de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acordó por medio del ATC 7/2020, de 27 de enero, dictado por la Sala Segunda de este tribunal. En el mismo se denegó la suspensión solicitada y se ordenó la anotación preventiva de la demanda de amparo en el registro de la propiedad, con remisión al referido juzgado para la expedición del mandamiento oportuno. Se considera, a tal efecto, que esta medida “se reputa idónea para evitar el perjuicio derivado de que la adquisición del bien por tercero lo hiciera irreivindicable, situación a la que se hace referencia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16 de diciembre de 2019, la procuradora de los tribunales doña María Claudia Munteanu, actuando en nombre y representación de la entidad Pera Assets Designated Activity Company, bajo la dirección letrada de don Alejandro Ingram Solís, solicitó que se le tuviera por personada en este recurso, en su condición de adquirente de los créditos hipotecarios que anteriormente eran de la titularidad de la entidad Banco de Sabadell, S.A. Estos créditos le habían sido cedidos por esta en virtud de escritura suscrita el 23 de julio de 2019, ante el notario de Madrid don Carlos de Alcocer Torra.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5 de octubre de 2020, la Secretaría de Justicia de la Sala Segunda de este tribunal dictó diligencia de ordenación por la que se acordó, de un lado, tener por personado y parte a la entidad Pera Assets Designated Activity Company,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6 de noviembre de 2020. En el mismo interesó que se dictara resolución estimatoria del recurso de amparo reiterando los argumentos expuestos en la demanda. Además, se hace una reseña expresa de la sentencia que resuelve el recurso de amparo núm. 5377-2018, que se corresponde con la STC 40/2020, de 27 de febrero. En esta resolución, por aplicación de las SSTC 6/2019, de 17 de enero, y 47/2019, de 8 de abril, se confirma la doctrina que defiende en este recurso, en torno a la necesidad de que el primer emplazamiento o citación se efectúe en el domicilio de la persona jurídica que figure como demandada, según impone el artículo 155.1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escrito de alegaciones el 16 de noviembre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núm. 5 de Lorca, en el juicio de ejecución hipotecaria 382-2018”, además de la consiguiente retroacción de las actuaciones al momento inmediatamente anterior a aquella notificación, “para que se le dé al recurrente posibilidad de formular la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nos encontramos ante el mismo supuesto fáctico y jurídico que ya fue resuelto en sentido estimatorio mediante las SSTC 40/2020, de 27 de febrero, y 43/2020, de 9 de marzo, cuyo contenido extracta.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los arts. 155.1 y 273.4, segundo párrafo,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Secretaría de Justicia se ha dictado diligencia el 17 de noviembre de 2020, dejando constancia de la presentación de los escritos de alegaciones del Ministerio Fiscal y de la representación procesal de la recurrente en amparo, quedando el asunto concluso y pendiente para deliberación cuando por turno corresponda. No consta presentado dentro del plazo del art. 52.1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fecha 26 de noviembre de 2020,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ulteriores escritos de oposición a la ejecución, los recursos de reposición o de nulidad de actuaciones, por considerarlos extemporáneos o improcedentes, al entender realizados conforme a Derecho los emplazamientos comunicados a través del sistema de notificaciones telemáticas.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e Instrucción núm. 5 de Lorca, de 21 de septiembre de 2018 y de 23 de abril de 2019, dictados en el proceso hipotecario núm. 382-2018.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por el primer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del Tribunal Constitucional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el que ahora se impugna, y donde se dio respuesta a los mismos argumentos que defienden aquí las partes, con fallo estimatorio de la demanda. Descartada en este caso la concurrencia de algún elemento distintivo que obligue a una fundamentación o resultado diferente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este. En el segundo supuesto, porque no es exigible esperar a la finalización del proceso ejecutivo hipotecario a quo,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Ley de enjuiciamiento civil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a quo a efectos de requerirle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Penrei Inversiones,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21 de septiembre de 2018 y de 23 de abril de 2019, dictados por el Juzgado de Primera Instancia e Instrucción núm. 5 de Lorca en el proceso de ejecución hipotecaria núm. 382-2018, así como la nulidad de las actuaciones realizadas a partir del auto de 8 de junio de 2018 por el que se acordó el despacho de la ejecución y el requerimiento de pago a la entidad deudora.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requerimiento de pago a la entidad ejecutada, debiendo llevarse a cabo de nuevo este trámite por el citado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