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30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6041-2019, promovido por Euroinversiones Inmobiliarias Costa Sur, S.L., contra el auto del Juzgado de Primera Instancia e Instrucción núm. 4 de Lorca, de 16 de septiembre de 2019, que desestimó el recurso de reposición interpuesto contra el auto, también impugnado, de fecha 15 de noviembre de 2018, por el que se inadmitió por extemporánea la demanda de oposición a la ejecución formulada por dicha mercantil en el procedimiento de ejecución hipotecaria núm. 351-2018, instado por la entidad Banco de Sabadell, S.A. Ha intervenido el Ministerio Fiscal. Se ha personado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octubre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 ahora recurrente de amparo, en su calidad de titular del derecho de uso sobre la finca registral 43.238, inscrita en el Registro de la Propiedad núm. 3 de Lorca. Incoado procedimiento de ejecución hipotecaria (núm. 351-2018), mediante auto de fecha 26 de junio de 2018, el Juzgado de Primera Instancia e Instrucción núm. 4 de Lorca (en adelante, el juzgado) ordenó la ejecución del título hipotecario, despachó ejecución contra otra entidad y contra la ahora demandante de amparo y dispuso, a continuación,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auto, junto con el decreto que dictará el letrado de la Administración de Justicia, y copia de la demanda ejecutiva, serán notificados simultáneamente a la parte ejecutada, tal y como dispone el artículo 553 de la Ley de enjuiciamiento civil (LEC), sin citación ni emplazamiento, para que en cualquier momento pueda personarse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no cabe recurso alguno, sin perjuicio de que la parte ejecutada pueda oponerse al despacho de ejecución en los términos previstos en el artículo 695 de la LEC y en el plazo de diez días a contar desde el siguiente a la notificación del presente auto y del decreto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notificación se produjo a través del servicio de notificaciones electrónicas de la Fábrica Nacional de Moneda y Timbre. Más en concreto, el servicio remitió el 3 de julio de 2018 un correo electrónico en el que señalaba como asunto “Juzgados y Tribunales – Aviso de Notificación para el NIF B73258006”, dirigida a Euroinversiones Inmobiliarias Costa Sur, S.L. – NIF B73258006. Según el texto del correo, la notificación venía referida al asunto “JDO. 1 INST. E INSTR. N 4 DE LORCA EJH/0000351/2018”, indicándole que la “notificación estará disponible en su dirección electrónica habilitada única desde el 3-07-2018 hasta el 18-08-2018. Si no procediera a su lectura en el plazo indicado se producirán los efectos correspondientes, según la normativa aplicable”. Más adelante, se añadía que “independientemente del tiempo que tenga a su disposición el acto de comunicación, transcurridos tres días hábiles desde su puesta a su disposición sin que el destinatario haya accedido a su contenido, se entenderá que la comunicación ha sido efectuada legalmente desplegando todos sus efectos, conforme con lo establecido en el art. 162.2 de la LEC”, para finalizar señalando que este “aviso conforme a lo dispuesto en el art. 25 del RD: 1065/2015 no tiene efecto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certificación emitida por el servicio de notificaciones electrónicas y dirección electrónica habilitada también consta que la notificación tenía como número de referencia el 56144145b3b936074035, que fue puesta a disposición del destinatario el 3 de julio de 2018 y que la fecha de aceptación fue el 3 de agosto de 2018, figurando como certificado digital receptor el correspondiente a don Juan Miguel Jiménez, en su calidad de representante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escrito presentado ante el juzgado el día 31 de agosto de 2018, la demandante de amparo compareció en el procedimiento, formulando oposición a la ejecución, con su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15 de noviembre de 2018, el juzgado dictó un auto por el que se acordó: “Inadmitir a trámite la oposición formulada por la parte ejecutada […] Euroinversiones Inmobiliarias Costa Sur, S.L., […] por presentación fuera de plazo, contra Banco Sabadell, S.A.”, advirtiendo que contra dicha resolución cabía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basó su decisión, conforme a su fundamento de Derecho único, en lo siguiente: “Se establece en el artículo 134 de la LEC, la improrrogabilidad de los plazos establecidos en la misma, y en el artículo 136 de la LEC, que transcurrido o pasado el término señalado para la realización de un acto procesal de parte se producirá la preclusión y se perderá la oportunidad de realizar el acto de que se trate. 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Formalizado recurso de reposición, el juzgado dictó un nuevo auto el 16 de septiembre de 2019, por el que se desestimó el recurso, conforme a los motivos expuestos en su fundamento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ser desestimado el recurso de reposición interpuesto por ser el auto recurrido conforme a la normativa procesal vigente en materia de oposición a la ejecución (artículos 556.1 LEC y concordantes) y de actos de comunicación. Así, pese a las alegaciones del recurrente que pretende mantener que el escrito de oposición fue presentado en plazo para ello por entender que el auto despachando la ejecución y el requerimiento efectuado debe entenderse notificado en fecha 3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aseverar que los artículos considerados como infringidos por la parte recurrente han sido respetados en el procedimiento, resalta que la propia recurrente reconoce estar obligada a utilizar los medios electrónicos en sus comunicaciones con el juzgado y afirma que la notificación se remitió a la dirección de correo electrónico “habilitada” del titular a la que se refiere el art. 162 LEC, que tiene carácter de norma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duda sobre la aplicabilidad de dicho precepto —prosigue el auto—, resulta que la notificación fue recibida el día 3 de julio de 2018, fecha en la que se materializó la “puesta a disposición” de la notificación correctamente y del propio documento se deriva que pasaron más de tres días desde la misma, sin que se hubiera accedido al contenido hasta el día 3 de agosto de 2018. En aplicación de lo dispuesto en el apartado segundo del art. 162 LEC, no habiéndose justificado por el recurrente una imposibilidad de acceder al sistema en este plazo, el juzgado concluye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auto indicó que dicha resolución “es firme, y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tratándose de su primer emplazamiento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reconoce que, por ser una persona jurídica, viene obligada a relacionarse con la administración de justicia a través de medios electrónicos. Aclara, no obstante, que cuando es el primer emplazamiento y por tanto todavía aquella “no ha tenido ninguna relación con el juzgado correspondiente en este especial y concreto procedimiento”, ha de practicarse mediante cédula con entrega en papel de la documentación correspondiente, conforme establece el art. 273, en relación con los arts. 135, 152, 162 y 155 LEC. Este último, precisa, “es categórico al respecto ya que en su punto primero nos indica que cuando las partes no actúen representadas por procurador o se trate del primer emplazamiento o citación al demandado, los actos de comunicación se harán por remisión al domicilio de los litigantes”. Añade que incluso la notificación realizada tampoco cumple con las formalidades de las comunicaciones electrónicas. Además, su entidad nunca facilitó una dirección de correo electrónico a efectos de notificaciones telemáticas y, a pesar de ello, se le remitió un aviso que no permitía conocer realmente el objeto del asunto. Pese a todo esto, el auto dictado por el juzgado el 15 de noviembre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desestimatorio del recurso de reposición, la recurrente rechaza que pueda fundamentar su decisión en la ley de procedimiento administrativo común, “que consideramos inaplicable al ámbito procesal civil, puesto que además de existir normas concretas al respecto, no se dan en uno y otro ámbito las mismas garantías procedimentales”; siendo que en materia de notificación de actos procesales existe su propia normativa tanto en la Ley de enjuiciamiento civil —los artículos arriba citados— como en el haz de garantías del propio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doctrina de este tribunal sobre la relevancia de los actos de comunicación procesal desde la perspectiva del derecho a la tutela judicial efectiva (entre otras, SSTC 115/1988, 195/1990 y 326/1993), finaliza solicitando que, con estimación del amparo, se acuerde la nulidad de los autos de 15 de noviembre de 2018 y de 16 de septiembre de 2019, reconociendo el derecho individual de Euroinversiones Inmobiliarias, S.L., a obtener una resolución con respeto al derecho a la tutela judicial efectiva, y la nulidad de actuaciones y reposición de todo al momento previo a dictarse el auto de fecha 15 de noviembre de 2018, para que resuelva conforme a Derecho, admitiendo a trámite la demanda de oposición al despacho de ejecución formulada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en el escrito de demanda se argumentó “que la continuación de la ejecución derivadas de los pronunciamientos judiciales que han sido objeto de impugnación, con la celebración de subasta y la eventual adjudicación a terceros o al propio ejecutante, pueden hacer perder al recurso de amparo su finalidad”, por lo que se solicitó “la suspensión de la continuación del procedimiento de ejecución hipotecaria 351-2018 seguido ante el Juzgado de Primera Instancia e Instrucción núm. 4 de Lorca, hasta tanto sea resuelto el presente recurso de amparo, poniéndolo en conocimiento del órgano judicial”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20 de julio de 2020 por la que acordó: (i) admitir a trámite el recurso, “apreciando que concurre en el mismo una especial trascendencia constitucional [art. 50.1 de la Ley Orgánica del Tribunal Constitucional (LOTC)] porque el recurso puede dar ocasión al tribunal para aclarar o cambiar su doctrina, como consecuencia de cambios normativos relevantes para la configuración del contenido del derecho fundamental [STC 155/2009, FJ 2 b)]”; (ii) obrando ya en la Sala las actuaciones jurisdiccionales, dirigir atenta comunicación al Juzgado de Primera Instancia e Instrucción núm. 4 de Lorca, a fin de que se proceda a “emplazar a quienes hubieran sido parte en el procedimiento” de origen, excepto a la “recurrente en amparo”, para poder comparecer en el presente proceso constitucional en el plazo de diez días; y (iii) formar la “oportuna pieza separada para la tramitación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Este traslado fue cumplimentado por la parte recurrente, mediante escrito de fecha 30 de julio de 2020, en el que se ratificó en su petición inicial. Por su parte, el Ministerio Fiscal presentó informe en fecha 1 de septiembre de 2020, en el que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del ATC 107/2020, de 21 de septiembre, dictado por la Sala Segunda de este tribunal. En el mismo se denegó la suspensión solicitada y se ordenó la anotación preventiva de la demanda de amparo en el registro de la propiedad, con remisión al referido juzgado para la expedición del mandamiento oportuno. Se considera, a tal efecto, que “se reputa medida idónea para evitar el perjuicio derivado de que la adquisición del bien por un tercero de buena fe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29 de septiembre de 2020, la procuradora de los tribunales doña Blanca María Grande Pesquero, actuando en nombre y representación de la entidad Pera Assets Designated Activity Company, bajo la dirección letrada de don Alejandro Ingram Solís, solicitó que se le tuviera por personada en este recurso, en su condición de adquirente de los créditos hipotecarios que anteriormente eran de la titularidad de la entidad Banco de Sabadell, S.A. Estos créditos le habían sido cedidos por esta en virtud de escritura suscrita el 23 de julio de 2019, ante el notario de Madrid don Carlos de Alcocer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 de octubre de 2020, la Secretaría de Justicia de la Sala Segunda de este tribunal dictó diligencia de ordenación por la que se acordó, de un lado, tener por personada y parte a la entidad Pera Assets Designated Activity Company,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4 de noviembre de 2020. En el mismo interesó que se dictara resolución estimatoria del recurso de amparo reiterando los argumentos expuestos en la demanda. Además, se hace una reseña expresa de la sentencia que resuelve el recurso de amparo núm. 5377-2018, que se corresponde con la STC 40/2020, de 27 de febrero. En esta resolución, por aplicación de las SSTC 6/2019, de 17 de enero, y 47/2019, de 8 de abril, se confirma la doctrina que defiende en este recurso, en torno a la necesidad de que el primer emplazamiento o citación se efectúe en el domicilio de la persona jurídica que figure como demandada, según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16 de noviembre de 2020,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auto despachando ejecución acordado por el Juzgado de Primera Instancia e Instrucción núm. 4 de Lorca, en el juicio de ejecución hipotecaria 351-2018”, además de la consiguiente retroacción de las actuaciones al momento inmediatamente anterior a aquella notificación, “para que se le dé al recurrente posibilidad de formular la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nos encontramos ante el mismo supuesto fáctico y jurídico que ya fue resuelto en sentido estimatorio mediante las SSTC 40/2020, de 27 de febrero, y 43/2020, de 9 de marzo, cuyo contenido extracta.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los arts. 155.1 y 273.4,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17 de noviembre de 2020, dejando constancia de la presentación de los escritos de alegaciones del Ministerio Fiscal y de la representación procesal de la recurrente en amparo, quedando el asunto concluso y pendiente para deliberación cuando por turno corresponda. No consta presentado dentro del plazo del art. 52.1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26 de noviembre de 2020,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han inadmitido a trámite los ulteriores escritos de oposición a la ejecución, los recursos de reposición o de nulidad de actuaciones, por considerarlos extemporáneos o improcedentes, al entender realizados conforme a Derecho los emplazamientos comunicados a través del sistema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4 de Lorca, de 15 de noviembre de 2018 y de 16 de septiembre de 2019, dictados en el proceso hipotecario núm. 351-2018.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el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el que ahora se impugna, y donde se dio respuesta a los mismos argumentos que defienden aquí las partes, con fallo estimatorio de la demanda. Descartada en este caso la concurrencia de algún elemento distintivo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fundamento jurídico 2 se descarta cualquier posible óbice procesal, tanto por falta de agotamiento de la vía judicial previa al amparo [art. 44.1 a) LOTC] como por ser prematuro el amparo. En el primer caso, porque no cabe recurso contra el auto desestimatorio de la reposición, como se indica en el pie de recurso de este. En el segundo supuesto, porque no es exigible esperar a la finalización del proceso ejecutivo hipotecario a quo, ya que condicionar la interposición de la demanda de amparo a este hecho genera una dilación injustificada que se traduciría en un gravamen adicional o en la intensificación de la lesión constitucional que denuncia, como ya se expuso en las SSTC 39/2015, de 2 de marzo, y 49/2016,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fundamento jurídico 4, como ha de hacerse también en el presente supuesto, que las dos resoluciones judiciales impugnadas vulneraron el derecho a la tutela judicial efectiva de la recurrente, al no proceder a su emplazamiento personal en el proceso a quo a efectos de requerirle de pago o alternativamente permitirle presentar su oposición a la ejecución. Por el contrario, el juzgado optó por un emplazamiento electrónico a través del servicio de notificaciones electrónicas y dirección electrónica habilitada de la Fábrica Nacional de Moneda y Timbre, que no está previsto en la normativa procesal para estos casos, y que apenas consistía en un aviso remitiendo a un enlace de internet para poder conocer el contenido de la notificación. Además, para el cómputo del plazo de presentación del escrito de oposición se invocaron normas del procedimiento administrativo común, que son ajenas al ámbito jurisdiccional en el que nos encontramos, en alegal conjunción con el plazo del art. 556 LEC. Todo ello produjo una indebida denegación de su escrito de oposición a la ejecución, lo que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15 de noviembre de 2018 y de 16 de septiembre de 2019, dictados por el Juzgado de Primera Instancia e Instrucción núm. 4 de Lorca en el proceso de ejecución hipotecaria núm. 351-2018, así como la nulidad de las actuaciones realizadas a partir del auto de 26 de junio de 2018,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debiendo llevarse a cabo de nuevo este trámite por el citado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