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137</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16 de noviembre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y don Cándido Conde-Pumpido Tourón y la magistrada doña María Luisa Balaguer Callejón, en el recurso de amparo núm. 6090-2019, promovido por la entidad Euroinversiones Inmobiliarias Costa Sur, S.L., en autos del Juzgado de Primera Instancia e Instrucción núm. 5 de Lorca,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25 de octubre de 2019, la entidad Euroinversiones Inmobiliarias Costa Sur, S.L., representada por la procuradora de los tribunales doña Blanca Berriatua Horta y bajo la dirección del letrado don Marcelino Gilabert García, interpuso recurso de amparo contra los autos de 21 de septiembre de 2018 y de 10 de septiembre de 2019, dictados por el Juzgado de Primera Instancia e Instrucción núm. 5 de Lorca, en el procedimiento de ejecución hipotecaria núm. 385-2018, por los que, respectivamente, se inadmite por extemporánea la demanda de oposición formulada y se confirma esta última decisión, tras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según se recogen en la demanda y en la documentación aportada,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5 de Lorca se sigue procedimiento de ejecución hipotecaria núm. 385-2018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43.361 del registro de la propiedad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7 de junio de 2018 se acordó despachar ejecución frente las sociedades demandadas por la cantidad de 8199,12 € de principal y 4510 € como intereses y costas presupuestados. El servicio de notificaciones de la Fábrica Nacional de Moneda y Timbre remitió a la demandante de amparo, a través de la dirección electrónica habilitada, un aviso de notificación del citado auto que le fue comunicado por dicho medio el 13 de junio de 2018. En dicha comunicación se informa que la notificación estará disponible hasta el 29 de julio del mismo año, accediendo la recurrente de amparo efectivamente a la página web y a la notificación dentro del plazo en que la misma se encontraba disponible.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representación legal de Euroinversiones Inmobiliarias Costa Sur, S.L., presentó escrito de oposición a la ejecución despachada con fecha 25 de julio de 2018. Por auto de 21 de septiembre de 2018 se acordó su inadmisión por considerar la pretensión extemporánea, tomando como fecha de notificación el 13 de junio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contra el auto de inadmisión alegando, en síntesis, que las actuaciones de notificación y requerimiento no habían sido realizadas el día 13 de junio de 2018, sino en la fecha en que accedió a la web y procedió a su descarga, y que la comunicación remitida a través de la dirección electrónica habilitada no puede entenderse más que un aviso de puesta a disposición o descarga de su contenido durante un plazo determinado (en el caso desde el 13 de junio hasta el 29 de julio de 2018), pues entenderlo de otro modo, además de infringir los arts. 135, 152, 160, 162 de la Ley de enjuiciamiento civil (LEC), vulnera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Tras su tramitación, el recurso de reposición fue desestimado por auto de 10 de septiembre de 2019. Según esta resolución, la recurrente tiene la condición de persona jurídica y, por tanto, está obligada a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373.3 LEC. Según el auto, en el presente caso “consta que la notificación se puso a disposición de las recurrentes en fecha 13/06/2018, no accediendo al contenido hasta el día 24/07/2018 (fuera de los tres días que establece la normativa procesal), presentando los escritos de oposición a la ejecución en fecha 25/07/2018, claramente fuera del plazo legalmente establecido en el art. 556.1 de la LEC (dentro de los diez días siguientes al de la notificación del auto despachando ejecución) y siendo que, conforme al art. 136 de la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 tal y como reconoce la sentencia 37/1984 del Tribunal Constitucional”. Justifica la especial trascendencia constitucional aludiendo a la novedosa implantación de procesos de notificación por medios electrónicos en el ámbito de la jurisdicción civil en relación con las exigencias procesales derivadas de la regulación de la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junio de 2020 la Sección Segunda de este tribunal acordó no admitir a trámite el recurso de amparo por no apreciar en el mismo la especial trascendencia constitucional que, como condición para su admisión, requiere el art. 50.1 b) de la Ley Orgánica del Tribunal Constitucional (LOTC) (STC 155/2009, de 25 de junio, FJ 2). Dicha providencia se dejó sin efecto en virtud del auto de 18 de septiembre de 2020 que estimó el recurso de súplica interpuesto contra la misma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sendas providencias de 21 de septiembre de 2020 la Sección Segunda de este tribunal acordó admitir a trámite el recurso de amparo y dirigir comunicación al Juzgado de Primera Instancia e Instrucción núm. 5 de Lorca, a fin de que, en plazo que no exceda de diez días, remitiera certificación o fotocopia adverada de las actuaciones correspondientes a los autos de ejecución hipotecaria y emplazara por el mismo plazo a quienes hubieran sido parte en el proceso del que trae causa el presente recurso de amparo; por otra parte se acordaba formar pieza separada para la tramitación de la suspensión del procedimiento de ejecución hipotecaria solicitada en el recurso y conceder plazo común de tres días al Ministerio Fiscal y al solicitante de amparo de conformidad con lo prevenido en el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7 de octubre de 2020 la parte demandante formuló sus alegaciones, reiterando lo expuesto en el otrosí de su demanda y trascribiendo como fundamento de su pretensión lo expresado en parte de los AATC 21/2018, de 5 de marzo, 58/2018, de 4 de junio y 117/2018, de 29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escrito registrado el 20 de octubre de 2020, el Ministerio Fiscal se opuso a la pretendida suspensión del procedimiento de ejecución hipotecaria, e interesó que, alternativamente, se acuerde la anotación preventiva de la demanda de amparo en el registro de la propiedad, aunque esta última medida no haya sido solicitada en el recurso. Tras exponer la doctrina de este tribunal sobre suspensión de resoluciones y actos impugnados, aduce que en el presente caso la petición del demandante no parece muy fundada, sostiene que acordar la suspensión comportaría la paralización del procedimiento ejecutivo, que por su propia naturaleza goza de las características de celeridad y sumariedad. Considera mucho más eficaz la anotación preventiva de la demanda en el registro de la propiedad, pues a través de dicha medida cautelar es posible evitar que un hipotético tercer adquirente del inmueble hipotecado, en virtud de su buena fe registral, quede especialmente protegido, perjudicando así los intereses concernidos.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suspensión cautelar instada por la parte recurrente en amparo y dirigida frente al procedimiento de ejecución hipotecaria núm. 385-2018, seguido en el Juzgado de Primera Instancia e Instrucción núm. 5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59/2017, de 24 de abril, FJ 1, y 177/2019, de 16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FJ 1; 147/2017, de 13 de noviembre, FJ 1, y 177/2019,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282/2014, de 17 de noviembre, FJ 4; 59/2015, de 16 de marzo, FJ 2, y 177/2019,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a la que se ha hecho mención permite concluir, de acuerdo con lo solicitado por el Ministerio Fiscal, que resulta improcedente la suspensión solicitada del procedimiento de ejecución hipotecaria y, por el contrario, medida idónea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igual que en procesos de amparo precedentes (AATC 81/2019, de 15 de julio; 148/2019, 155/2019 y 156/2019, de 25 de noviembre, FJ 3, y 170/2019, 171/2019, 173/2019, 174/2019 y 177/2019 de 16 de diciembre, FJ 3), 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De las actuaciones judiciales que han sido remitidas por el juzgado se desprende que al solicitarse el amparo el procedimiento se encontraba en la fase inicial, una vez rechazada la oposición a la ejecución. En tales circunstancias no es posible afirmar que la continuación del curso del procedimiento judicial, incluso si se produjera un desplazamiento posesorio, provoque por sí sola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como se anticipó, se reputa medida suficiente e idónea para evitar el perjuicio derivado de que la adquisición del bien por tercero lo haga irreivindicable. Esta misma ha sido la solución acogida recientemente, entre otros, en los AATC 148/2019, 155/2019 y 156/2019, FJ 3, y 170/2019, 171/2019, 173/2019, 174/2019 y 177/2019,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hicimos en el fundamento tercero de los mencionados autos, 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385-2018, seguido en el Juzgado de Primera Instancia e Instrucción núm. 5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