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183-2020, promovido por Euroinversiones Inmobiliaria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enero de 2020, la entidad Euroinversiones Inmobiliarias Costa Sur, S.L., representada por la procuradora de los tribunales doña Blanca Berriatua Horta y bajo la dirección de la letrada doña Anju Nirmala Benavent Rodríguez, interpuso recurso de amparo contra los autos de 14 de noviembre de 2018 y de 20 de noviembre de 2019, dictados por el Juzgado de Primera Instancia e Instrucción núm. 4 de Lorca, en el procedimiento de ejecución hipotecaria núm. 364-2018,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364-2018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43310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26 de junio de 2018 se acordó despachar ejecución frente las sociedades demandadas por la cantidad de 2 248,32 € de principal y 674,49 €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3 de julio de 2018. En dicha comunicación se informa que la notificación estará disponible hasta el 18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1de septiembre de 2018. Por auto de 14 de noviembre de 2018 se acordó su inadmisión por considerar la pretensión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3 de julio de 2018, sino en la fecha en que accedió a la web y procedió a su descarga, y que la comunicación remitida a través de la dirección electrónica habilitada no puede entenderse más que como un aviso de puesta a disposición o descarga de su contenido durante un plazo determinado (en el caso desde el 3 de julio hasta el 18 de agosto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20 de noviembre de 2019. Según esta resolución, el 3 de julio de 2018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junio de 2020 la Sección Primera de este tribunal acordó no admitir a trámite el recurso de amparo por no apreciar en el mismo la especial trascendencia constitucional que, como condición para su admisión, requiere el art. 50.1 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9 de julio de 2020, interpuso recurso de súplica ex art. 50.3 de la Ley Orgánica del Tribunal Constitucional (LOTC) contra la providencia de 16 de junio de 2020, en el que interesaba que se dejase sin efecto la providencia indicada, dictándose otra en su lugar admitiendo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la Sección Primera de 15 de septiembre de 2020 se estimó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19 de octubre de 2020 la Sección Primera de este tribunal acordó admitir a trámite el recurso de amparo y dirigir comunicación al Juzgado de Primera Instancia e Instrucción núm. 4 de Lorca, a fin de que, en el plazo de diez días, remitiera certificación o fotocopia adverada de las actuaciones correspondientes a la ejecución hipotecaria 364-2018,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se acuerda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el 26 de octubre de 2020, la parte demandante formuló sus alegaciones, reiterando lo dicho en el otro sí de su demanda y trascribiendo parte de los AATC 21/2018, de 5 de marzo, 58/2018, de 4 de junio y 117/2018,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en escrito registrado el 5 de noviembre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presentado el 17 de noviembrebre de 2020, la procuradora de los tribunales doña María Claudia Munteanu, en nombre y representación de Pera Assets Designated Activity Company, presentó su escrito de alegaciones en el que se opone a la suspensión. Tras reproducir distintos autos del Tribunal Constitucional en los que se deniegan las suspensiones interesadas, señala que la recurrente se limita a solicitar la suspensión sin acreditar ningún tipo de perjuicio que pueda considerarse irreparable, teniendo como única finalidad la de entorpecer y demorar el procedimiento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364-2018,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364-2018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