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696-2020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febrero de 2020, la entidad Penrei Inversiones, S.L., representada por la procuradora de los tribunales doña Blanca Berriatua Horta y bajo la dirección del letrado don Anju Nirmala Benavent Rodriguez, interpuso recurso de amparo contra los autos de 15 de noviembre de 2018 y de 12 de diciembre de 2019, dictados por el Juzgado de Primera Instancia e Instrucción núm. 4 de Lorca en el procedimiento de ejecución hipotecaria núm. 369-2018,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43.323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29 de agosto de 2018. Por auto de 15 de noviembre de 2018 se acordó su inadmisión por considerar la pretensión extemporánea, tomando como fecha de notificación el 25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 en cuyo FJ único se afirma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22 de octubre de 2020, la Sección Segunda de este tribunal acordó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 Por diligencia de ordenación fechada el 26 de octubre de 2020, se dirige comunicación al Juzgado de Primera Instancia e Instrucción núm. 4 de Lorca, a fin de que emplazase a quienes hubieran sido parte en el procedimiento de ejecución hipotecaria núm. 369-2018, excepto la parte recurrente en amparo, para que en el plazo de diez días pudieran comparecer en el recurso de amparo, si lo desean. En esta providencia no se reclaman las actuaciones por estar ya incorporadas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10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369-2018,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 varios autos que resuelven incidentes de ejecución de esta misma serie de recursos de amparo. Valgan como ejemplo, en relación con el mismo recurrente en amparo, los recientes AATC 123/2020, de 19 de octubre; 110/2020, de 21 de septiembre; 103/2020, de 21 de septiembre;  51/2020, de 15 de junio, y 78/2020 y 81/2020,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369-2018,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