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25 de enero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en el recurso de amparo núm. 7528-2019, promovido por Euroinversiones Inmobiliarias Costa Sur,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mercantil Euroinversiones Inmobiliarias Costa Sur, S.L., solicita la suspensión del proceso de ejecución hipotecaria núm. 349-2018 tramitado por el Juzgado de Primera Instancia e Instrucción núm. 4 de Lorca. Lo hace por otrosí en el escrito de 24 de diciembre de 2019, que tuvo entrada en este Tribunal con fecha de 26 de diciembre de 2019, por el que interpone recurso de amparo contra los autos de 30 de octubre de 2019 y 14 de noviembre de 2018 recaídos en aquel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sobre la medida cautelar solicitada son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Ante el Juzgado de Primera Instancia e Instrucción núm. 4 de Lorca se tramita, a instancia de Banco de Sabadell, S.A., frente a las sociedades Euroinversiones Inmobiliarias Costa Sur, S.L. y Penrei Inversiones, S.L., el proceso de ejecución hipotecaria núm. 349-2018.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Despachada ejecución por auto de 18 de junio de 2018, las sociedades demandadas fueron requeridas y notificadas a través de la sede judicial electrónica el día 20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Según expone la demandante de amparo, con fecha de 27 de julio de 2018, dentro del plazo concedido para acceder a la notificación, accedió a la página web indicada en el aviso de puesta a disposición de la notificación, y procedió a la descarga de la misma, emitiéndose por el servicio de soporte del servicio de notificaciones electrónicas y dirección electrónica habilitada de la Fábrica Nacional de Moneda y Timbre el pertinente certificado, que acredita que el conocimiento por la destinataria del auto de despacho de ejecución, del decreto de igual fecha, del requerimiento de pago, así como de la demanda y demás documentos acompañados 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 fecha de fecha 28 de agosto de 2018, la sociedad Euroinversiones Inmobiliaria Costa Sur, S.L., presentó escrito de oposición al despacho de ejecución, acompañando una serie de documentos. Respecto del cómputo del plazo entiende que al haber sido notificada en fecha 27 de julio de 2018, y siendo agosto mes inhábil, el plazo para la presentación de la oposición a la ejecución hipotecaria hubiera vencido el día 12 de septiembre de 2018, por lo que la oposición estaba presentada dentro del plazo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14 de noviembre de 2018, el órgano judicial inadmite el escrito, al considerar precluido el trámite de oposición [arts. 134 y 136 de la Ley de enjuiciamiento civil (LEC), en relación con el art. 695 LEC]. Así, sostiene que debió haberse planteado la oposición dentro de los diez días siguientes a la notificación del auto y decreto por el que se despachó la ejecución (de fecha de 20 de junio de 2020) y la ejecutada lo hizo con fecha de 28 de agosto de 2020, es decir, pasado el término concedido para ello.Euroinversiones Inmobiliarias Costa Sur, S.L., interpuso recurso de reposición frente al anterior auto, realizando la formal denuncia de vulneración del art. 24 CE que fue desestimado por auto de fecha 30 de octubre de 2019. Para alcanzar este fallo, en un fundamento jurídico único se razona que “[L]os artículos citados como infringidos por la parte recurrente (arts. 135, 152, 162 y 273 y siguientes de la LEC) han sido perfectamente respetados en el presente procedimiento. La propia parte recurrente afirma estar obligada a utilizar los medios electrónicos en sus comunicaciones con el Juzgado y afirma que la notificación se remitió a la dirección de correo electrónico “habilitada” del titular a las que se refiere el art. 162 LEC, que tiene carácter de norma especial, destinada a regular los actos de comunicación por medios electrónicos o similares. No existiendo discusión ni duda acerca de la aplicabilidad de dicho precepto, al reconocer la propia recurrente la obligatoriedad en el uso de dichos medios en las relaciones con la administración de justicia, se llega a la conclusión de que lo dispuesto en el mismo es claro y ha sido respetado. Del propio documento núm. 1 aportado con el escrito interponiendo recurso de reposición y de las propias alegaciones vertidas por la recurrente, resulta la correcta recepción de la notificación en fecha 20/06/2018, fecha en la que se materializó la ‘puesta a disposición’ de la notificación correctamente y del propio documento resulta que pasaron más de tres días desde la misma sin que se hubiera accedido al contenido hasta el día 27 de julio de 2018, por tanto, en aplicación estricta de lo dispuesto en el apartado segundo del art. 162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precluído la posibilidad de hacerlo”.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atribuye a los autos impugnados la vulneración del derecho fundamental de la sociedad recurrente a la tutela judicial efectiva y a un proceso con garantías y sin indefensión (art. 24, apartados 1 y 2 CE). La interpretación de la legislación procesal, habría privado injustamente a la recurrente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 solicita por otrosí la suspensión del proceso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Sección Tercera Sala Segunda, de este Tribunal Constitucional, dictó diligencia de ordenación el 31 de enero de 2020, solicitando al juzgado a quo la remisión, a la mayor brevedad posible, de certificación o fotocopia adverada de las actuaciones correspondientes al procedimiento de ejecución hipotecaria seguido en ese juzgado con el número 349-2018.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15 de octubre de 2020, la Sección Segunda de este tribunal acordó admitir a trámite el recurso y dirigir comunicación al Juzgado de Primera Instancia e Instrucción núm. 4 de Lorca, a fin de que, en el plazo de diez días, emplazase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misma fecha, la Sección acordó formar la oportuna pieza para la tramitación del incidente de suspensión y, conforme a lo dispuesto en el art. 56 de la Ley Orgánica del Tribunal Constitucional (LOTC), conceder un plazo común de tres días a la parte recurrente y al Ministerio Fiscal para que alegasen lo que estimaran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28 de octubre de 2020, la demandante de amparo presentó sus alegaciones, insistiendo en que la ejecución se ha despachado con vulneración de su derecho a la tutela judicial efectiva. Añade que la doctrina constitucional ha accedido a suspender ejecuciones hipotecarias en otros casos y que no hacerlo en el presente conduciría a situaciones irreversibles con inevitables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de alegaciones, registrado en este tribunal el 4 de noviembre de 2020, el Ministerio Fiscal interesa que se acuerde la anotación preventiva de la demanda en el registro de la propiedad, pese a no haber sido solicitada. Tras exponer la doctrina constitucional sobre suspensión de resoluciones impugnadas, considera que, de no adoptarse la anotación preventiva de la demanda, la tutela que el tribunal pudiera otorgar corre el riesgo de ser incompleta; dejaría abierta la posibilidad de que la finca sea transmitida a un tercero de buena fe mientras se sustancia y resuelve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resolver sobre la procedencia de la medida cautelar instada por la parte recurrente en amparo y dirigida frente al procedimiento de ejecución hipotecaria núm. 349-2018 seguido en el Juzgado de Primera Instancia e Instrucción núm. 4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suspensión no podrá pues ocasionar perturbación grave alguna sobre un interés constitucionalmente protegido o los derechos fundamentales o libertades de otra persona. Por esta razón se configura como una medida de carácter excepcional y de aplicación restrictiva (por todos, AATC 117/2015, de 6 de julio, FJ 1, y 59/2017, de 24 de abril, FJ 1). Este tribunal viene exigiendo a quien lo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Debe mostrar que la ejecución del acto recurrido puede privar a la demanda de amparo de su finalidad, provocando que el restablecimiento del recurrente en el derecho constitucional vulnerado sea tardío y convirtiendo en meramente ilusorio y nominal el amparo impetrado [AATC 51/1989, de 30 de enero, 290/1995, de 23 de octubre; 370/1996, de 16 de diciembre; 283/1999, de 29 de noviembre; 90/2014, de 120 27 de marzo, FJ 1; 190/2015, de 5 de noviembre, FJ 2 a); 59/2017, de 24 de abril, 146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expuesta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pesar de dar buena muestra de las anteriores resoluciones de este tribunal en casos idénticos planteados por la propia demandante de amparo, pues la cita de las mismas es abundante en su escrito se limita de nuevo a poner de manifiesto, genéricamente, que la eventual adjudicación a terceros del inmueble objeto de ejecución hipotecaria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la reputa medida idónea para evitar el perjuicio derivado de que la adquisición del bien por tercero lo haga irreivindicable. Esta ha sido la solución acogida recientemente, en los AATC 75/2019 y 76/2019, ambos de 15 de julio, entre muchos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como hemos hecho en supuestos anteriores,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168 (AATC 257/2003, de 14 de julio, 406/2003, 192 de 15 de diciembre, 230/2007, de 7 de mayo, FJ 3; y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349-2018 seguido en el Juzgado de Primera Instancia e Instrucción núm. 4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