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19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7621-2019, promovido por don Miguel Abellán Martínez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diciembre de 2019, don Miguel Abellán Martínez, representado por la procuradora de los tribunales doña Cruz María Sobrino García, bajo la dirección del letrado don Fernando Gabriel Ortega Gil, interpuso recurso de amparo contra el auto de la Sección Segunda de la Sala de lo Penal de la Audiencia Nacional núm. 631-2019, de 15 de noviembre de 2019, por el que se desestima el recurso de apelación núm. 630-2019 interpuesto contra el auto del Juzgado Central de Instrucción núm. 5 de 2 de septiembre de 2019, pronunciado en las diligencias previas núm. 70-2018.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solicita la suspensión de la resolución impugnada argumentando que la obligación impuesta en dicha resolución, en aplicación del art. 113 de la Ley de enjuiciamiento criminal (LECrim), de que se acumulen las representaciones y la dirección letrada de las acusaciones particulares, debiendo optarse por cualquiera de las primeras seis acusaciones particulares personadas, le causaría un perjuicio irreparable que haría perder al amparo su finalidad ya que se desconoce si dichos profesionales son gratuitos o privados y se le obligaría a estar defendido por unos profesionales que no derivan de la designación efectuada en su momento, pudiendo perder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17 de febrero de 2021,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 de marzo de 2021, presentó alegaciones interesando que no se proceda a la suspensión solicitada por no acreditarse la existencia de perjuicios irreparables, ya que las alegaciones que se hacen son excesivamente genéricas y no se compadecen con la realidad de que las resoluciones recurridas admiten la defensa colegiada entre los profesionales designados por el turno de oficio y aquellos con los que se debe acumular la representación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26 de febrero de 2021, presentó alegaciones reiterando los motivos por los que instó la suspensión de las resoluciones impugnadas, pero reconociendo que “se la ha permitido ser defendido por el letrado designado del turno de oficio inicialmente designado, así como dentro de los procuradores del turno de oficio que han sido designados por el Ilustre Colegio de Procuradores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acordar la suspensión de las resoluciones impugnadas en las que se condiciona la personación como acusación particular del recurrente, en las diligencias previas incoadas con motivo de unos hechos en que se consideraba víctima, a que actúe con la misma defensa y representación de cualquiera de las primeras seis acusaciones particulares, todos ellos designados por libre elección, y se dispone que puede ejercer la defensa de forma colegiada por los distintos letrados, a pesar de tener una posición que no es sustancialmente idéntica a la de estos por tener reconocido el derecho a la asistencia jurídica gratuita y profesionales del turno de oficio designados para hacer efectivo el ejercicio de ese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y debe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su irreparabilidad;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el tribunal ha sentado que, con carácter general, no causa un perjuicio irreparable al obligado al pago, ni puede hacer perder al amparo su finalidad, al ser posible la restitución íntegra de lo ejecutado (así, ATC 97/2019, de 16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se ha expuesto en los antecedentes, los perjuicios alegados por el recurrente se refieren a (i) que se desconoce si los profesionales por los que debe optar son gratuitos o privados y (ii) se le obligaría a estar defendido por unos profesionales que no derivan de la designación efectuada en su momento y podría perder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jurisprudencia constitucional señalada, tal como también interesa el Ministerio Fiscal, no resulta procedente acceder a la suspensión solicitada, ya que los eventuales perjuicios que se alegan son de carácter predominantemente económico, por lo que por su propia naturaleza no pueden ser considerados irreparables. Además, tal como reconoce el propio recurrente en su escrito de alegaciones, sin perjuicio de la obligación impuesta en las resoluciones impugnadas de que se deba ejercer la defensa de forma colegiada, mantiene su representación y defensa por medio de los profesionales del turno de oficio, lo que no permite dar por acreditado el perjuicio alegado de la eventual pérdida del derecho a la asistencia jurídica gratuita. No obstante, en el caso del cambio de circunstancias existe la posibilidad de que el recurrente las ponga de manifiesto en este incidente para que el tribunal vuelva a pronunciarse sobre la procedencia de la suspensión de los efectos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