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21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4163-2019, interpuesto por don Juan Carlos Asenjo Grande, representado por la procuradora de los tribunales doña Teresa del Rosario Campos Fraguas y asistido por la abogada doña María Dolores Pena Rey, contra la sentencia del Juzgado Central de lo Contencioso-Administrativo núm. 1 de 11 de abril de 2019 (procedimiento abreviado núm. 15-2019), que desestimó el recurso contencioso-administrativo interpuesto contra la resolución dictada por el secretario de Estado de Justicia, por delegación de la ministra de Justicia, de 31 de agosto de 2018 (expediente núm. 373-2017), que denegó la indemnización solicitada en concepto de responsabilidad patrimonial del Estado por prisión preventiva. Han intervenido el abogado del Estado y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julio de 2019, la procuradora de los tribunales doña Teresa del Rosario Campos Fraguas, en nombre y representación de don Juan Carlos Asenjo Grande y bajo la dirección de la abogada doña María Dolores Pena Rey,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10 de julio de 2017, el recurrente en amparo formuló ante el Ministerio de Justicia reclamación indemnizatoria por responsabilidad patrimonial del Estado por la vía del art. 294 de la Ley Orgánica del Poder Judicial (LOPJ). Solicitó una indemnización de 10 000 € —más los intereses legales procedentes— con base en que había estado privado de libertad en situación de prisión preventiva desde el 22 de septiembre al 8 de octubre de 2019 en virtud de auto del Juzgado de Instrucción núm. 20 de Madrid, acordado en actuaciones judiciales seguidas por delitos de estafa, falsedad y usurpación de estado civil. De esta causa finalmente resultó absuelto, primero por sentencia núm. 392/2016 de la Sección Decimosexta de la Audiencia Provincial de Madrid de 11 de julio de 2016, posteriormente confirmada por sentencia de la Sala de lo Penal del Tribunal Supremo núm. 284/2017, de 19 de abril de 2017, al ser desestimado el recurso de casación interpuesto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reclamación dio lugar a la incoación del expediente de responsabilidad patrimonial del Estado núm. 373-2017, en el que su pretensión fue finalmente desestimada, de acuerdo con el criterio del Consejo de Estado, mediante resolución del secretario de Estado de Justicia de 31 de agosto de 2018, dictada por delegación de la ministra de Justicia, por entender que su absolución no se había producido por inexistencia objetiva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desestimación de la reclamación promovida, la representación procesal de don Juan Carlos Asenjo Grande interpuso recurso contencioso-administrativo el 17 de agosto de 2017, tramitándose como el procedimiento abreviado núm. 15-2019 de los de su clase, ante el Juzgado Central de lo Contencioso-Administrativo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núm. 58/2019, de 11 de abril, el Juzgado Central de lo Contencioso-Administrativo núm. 1 desestimó el recurso conforme al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294 LOPJ se refiere un supuesto específico de error judicial que no requiere la previa declaración judicial del mismo, por referirse a supuesto en que la resolución penal de absolución o sobreseimiento libre se produce por ‘inexistencia de hecho imputado’ y no genéricamente por otros casos de absolución o sobreseimiento libre, por lo que cuando no concurre tal supuesto queda abierta la vía del art. 293.2 LOPJ para el caso que venía siendo indemnizado como inexistencia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expresa la resolución recurrida que en el fallo de la sentencia de la sección decimosexta de la Audiencia Provincial de Madrid, el 11 de julio de 2016, no se declara la inexistencia del hecho imputado, requisito fijado por el art. 294 LOPJ para tener derecho a ser indemnizado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añadir que tales conclusiones no son contrarias a lo razonado en la STC 8/2017 de 19 de enero, que no altera la regulación legal expresada centrándose en la formación de los razonamientos argumentales en relación con la presunción de inocencia, por lo que acuerda es la retroacción de actuaciones”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vulneración de los artículos 17.1, 14 y 24.2 CE en relación con los artículos 6.2 y 5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en primer lugar, que la sentencia recurrida “otorga, en aplicación del artículo 294 LOPJ, un tratamiento distinto a supuestos de hecho idénticos vulnerando el artículo 14 CE”. Con cita de la STC 60/2015, FJ 4, se argumenta que “el trato diferente que se aplica a quienes no son condenados por haberse probado la inexistencia del hecho y quienes lo han sido por otras razones, carece de justificación, es desproporcionada y vulnera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(arts. 24.2 CE y 6.2 CEDH), apoyándose en las SSTEDH de 25 de abril de 2006, caso Puig Panella c. España y de 13 de julio de 2010, caso Tendam c. España, y en la STC 8/2017, se considera infringido porque “para decidir sobre si concurre o no responsabilidad de la administración de justicia por prisión provisional no seguida de condena no podrán utilizarse argumentos que directa o indirectamente afecten a la presunción de inocencia, puesto que violaría este derecho cualquier razonamiento que ponga en duda la inocencia del demandante, como el afirmar que la razón de la absolución deriva de la aplicación de los principios del proceso penal (presunción de inocencia) y no de la inexistencia del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derecho de libertad (art. 17.1 CE), alega que es cierto que todo ciudadano tiene el deber de tolerar las medidas legítimas que se adopten por el Estado en el seno de una investigación, pues no es otra cosa que el ejercicio del ius puniendi en aras del interés general. Pero, a su juicio, la privación legítima de libertad alcanza tal grado de injerencia sobre el ciudadano que supera toda obligación soportable en aras del interés general. Considera que esto lo ha tenido en cuenta el legislador cuando ha incluido en nuestro cuerpo normativo el artículo 294.1 LOPJ, y, sin embargo, en casos como el presente, el Estado no compensa a los ciudadanos que han sido absueltos por aplicación del principio de presunción de inocencia bajo el paraguas de un razonamiento retorcido que, como ha establecido el Tribunal Europeo Derechos Humanos y, recientemente, el Tribunal Constitucional en su sentencia de 20 de junio de 2019, vulnera los derechos fundamentales a la presunción de inocencia, a la igualdad y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enero de 2021, la Sección Primera de este tribunal acordó la admisión a trámite de la demanda de amparo presentada, apreciando que concurre en el recurso especial trascendencia constitucional porque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dirigir igualmente comunicación al Juzgado Central de lo Contencioso-Administrativo núm. 1 a fin de que, en plazo que no exceda de diez días, remita certificación o fotocopia adverada de las actuaciones correspondientes al procedimiento abreviado 15-2019 debiendo previamente emplazarse, para que en el plazo de días puedan comparecer, si lo desean, en el recurso de amparo, a quienes hubieran sido parte en el procedimiento, excepto la parte recurrente en amparo. Y al ser el abogado del Estado, en representación de la administración, parte interesada, se acuerda también notificarle esta resolución, que le servirá de emplazamiento, para que en el plazo de diez días pueda comparecer, si lo estima pertinente,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Sección Primera de este tribunal, por diligencia de ordenación de 22 de febrero de 2021, acordó tener por personado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23 de marzo de 2021 se tienen por recibidos los testimonios de las actuaciones remitidos por el Juzgado Central de lo Contencioso-Administrativo núm. 1, y, constando ya personado en la actuaciones el abogado del Estado en nombre y representación de la administración pública, a tenor de lo dispuesto en el art. 52 LOTC, se acuerda dar vista de las actuaciones al Ministerio Fiscal y a las partes personadas por plazo común de veinte días, para que dentro de dicho término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presentó sus alegaciones mediante escrito registrado el 16 de abril de 2021, reproduciendo, en esencia, las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en este tribunal el 5 de mayo de 2021, interesa el otorgamiento del amparo “una vez que el origen de las lesiones al derecho a la presunción de inocencia y al derecho a la igualdad (art. 14 CE) se hallaría en la norma legal”. Entiende que, dado que en buena parte los planteamientos sustantivos introducidos en el debate son sustancialmente coincidentes con los abordados en la STC 125/2019, de 31 de octubre, se debe “reconocer el derecho del recurrente a que la decisión sobre su solicitud de indemnización se adopte, en cuanto a sus criterios rectores, de acuerdo a las exigencias constitucionales del art. 14 CE y del art. 24.2 CE señaladas en las SSTC 85/2019 y 125/2019”. En la primera de ellas, los incisos “por inexistencia objetiva del hecho imputado” y “por esta misma causa” del art. 294.1 LOPJ son declarados inconstitucionales y nulos por vulneración de los citados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el 21 de abril de 2021, interesa se dicte sentencia conforme a Derecho y, en caso de estimación del recurso, “se ordene […] la retroacción del expediente a la instancia oportuna a fin de que, de acuerdo con lo que dispone el art. 294 LOPJ, y siguiendo siempre el cauce procedimental adecuado, se acrediten los daños y perjuicios que en su caso se hubieran podido llegar a producir”. Destaca el abogado del Estado que, aunque resulta de aplicación la STC 85/2019, de 19 de junio, y, por ello, ha de declararse la vulneración del derecho a la presunción de inocencia al haberse aplicado un inciso del art. 294.1 LOPJ declarado inconstitucional por su contradicción con el art. 24.2 CE, el fallo de la citada resolución “deja incólume la expresión ‘siempre que se hayan arrogado perjuicios’”, lo que implica que el resarcimiento no es automático y que no le corresponde al Tribunal Constitucional pronunciarse sobre la procedencia del resarcimiento determinando la realidad de los daños sino a la administración una vez depurado el art. 294.1 LOPJ de sus incisos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junio de 2021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núm. 58/2019, de 11 de abril, del Juzgado Central de lo Contencioso-Administrativo núm. 1, recaída en procedimiento abreviado núm. 15-2019, y la resolución de 31 de agosto de 2018 del secretario de Estado del Ministerio de Justicia, denegatoria de la indemnización solicitada por haber sufrido el recurrente prisión provisional y ser absuelto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STC 125/2019, de 31 de octubre (recurso de amparo núm. 4035-2012), a cuyos fundamentos jurídicos debemos remitirnos. En concreto, en su fundamento jurídico 4 se determinaron los efectos sobre el recurso de amparo de la declaración de inconstitucionalidad de los incisos “por inexistencia del hecho imputado” y “por esta misma causa” del art. 294.1 de la Ley Orgánica del Poder Judicial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de 19 de junio, y 125/2019, de 31 de octubre. Por ello, la retroacción debe remontarse al momento anterior a dictarse la resolución del secretario de Estado de justicia de 31 de agosto de 2018,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STC 85/2019, FJ 13, y la STC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Carlos Asenjo Grande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a la igualdad (art. 14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núm. 58/2019, de 11 de abril, del Juzgado Central de lo Contencioso-Administrativo núm. 1, recaída en procedimiento abreviado núm. 15-2019, y de la resolución de 31 de agosto de 2018 del secretario de Estado del Ministerio de Justicia dictada en el expediente núm. 373-2017.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 pronunciarse la última resolución citada para que se resuelva la reclamación de responsabilidad patrimonial por prisión provisional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