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12 de julio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Sala Primera del Tribunal Constitucional compuesta por don Juan José González Rivas, presidente; los magistrados, don Andrés Ollero Tassara, don Santiago Martínez-Vares García, don Alfredo Montoya Melgar y don Cándido Conde-Pumpido Tourón, en el recurso de amparo núm. 5368-2020,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noviembre de 2020, la entidad Euroinversiones Inmobiliarias Costa Sur, S.L., representada por la procuradora de los tribunales doña Blanca Berriatua Horta y bajo la dirección del letrado don Marcelino Gilabert, interpuso recurso de amparo contra los autos de 21 de septiembre de 2018 y 29 de septiembre de 2020, dictados por el Juzgado de Primera Instancia e Instrucción núm. 5 de Lorca, en el procedimiento de ejecución hipotecaria núm. 290-2018,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290-2018 promovido por la entidad Banco de Sabadell, S.A., frente a la sociedad Euroinversiones Inmobiliarias Costa Sur, S.L., en calidad de prestataria e hipotecante.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servicio de notificaciones de la Fábrica Nacional de Moneda y Timbre remitió a la demandante de amparo, a través de la dirección electrónica habilitada, un aviso de notificación del citado auto que le fue comunicado por dicho medio el 21 de mayo de 2018. En dicha comunicación se informa que la notificación estará disponible hasta el 6 de julio de 2018, accediendo la recurrente de amparo efectivamente a la página web y a la notificación el último día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18 de julio de 2018. Por auto de 21 de septiembre de 2018 se acordó su inadmisión por considerar la pretensión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que fue desestimado por auto de 29 septiembre de 2020 con la siguiente argumentación: “Las alegaciones del recurrente no desvirtúan el auto recurrido que es claro y correcto en fundamentación fáctica y jurídica. La presentación de la oposición por la parte ejecutada ha sido extemporánea como aclara el auto recurrido. En fecha 21 de mayo de 2018 se notificó y requirió en legal forma a la demandada a través de la sede judicial electrónica al ser persona jurídica, la remisión fue correcta y no es hasta el día 18 de julio de 2018 cuando se presenta la oposición, claramente fuera del plazo de los diez días que se le concede a la parte ejecutada para presentar su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forma de realizar la notificación debía haber sido por remisión al domicilio de la empresa según lo dispuesto en el art. 155 de la Ley de enjuiciamiento civil y que al hacerlo a través de la sede electrónica no había tenido conocimiento del procedimiento de ejecución hasta el 6 de julio de 2018, tal y como consta en el certificado del servicio del soporte del servicio de notificaciones electrónica y dirección electrónica habilitada, por lo que esta debe ser la fecha a partir de la cual deben comenzar a contar los diez días para poder formular la oposición y, por tanto, su escrito fue presentado dentro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febrero de 2021 la Sección Primera de este tribunal acordó no admitir a trámite el recurso de amparo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23 de febrero de 2021, interpuso recurso de súplica ex art. 50.3 de la Ley Orgánica del Tribunal Constitucional (LOTC) contra la providencia de 10 de febrero de 2021, en el que interesaba que se dejase sin efecto la providencia indicada, dictándose otra en su lugar admitiendo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la Sección Primera de 5 de abril de 2021 se estimó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10 de mayo de 2021 la Sección Primera de este tribunal acordó admitir a trámite el recurso de amparo, apreciando que concurren el mismo una especial trascendencia constitucional (art. 50.1 LOTC) como consecuencia de 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se acordó dirigir comunicación al Juzgado de Primera Instancia e Instrucción núm. 5 de Lorca, a fin de que, en el plazo de diez días, remitiera certificación o fotocopia adverada de las actuaciones correspondientes a la ejecución hipotecaria núm. 290-2018, debiendo previamente emplazarse, para que en el plazo de diez días pudieran comparecer, si lo desearan,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se acuerda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17 de mayo de 2021, la parte demandante formuló sus alegaciones, reiterando lo dicho en el otrosí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en escrito registrado el 31 de mayo de 2021, tras exponer la doctrina de este tribunal sobre suspensión de resoluciones y actos impugnados, afirma que este tribunal se ha pronunciado ya en varios recursos de esta misma empresa en asuntos muy similares, con una alegación prácticamente igual para pedir la suspensión. En estos asuntos se ha resuelto sobre la petición de suspensión aplicando la doctrina constitucional, por lo cual considera que procede dar la misma respuesta que en esos procesos, en los que se estima que no procede la suspensión de la ejecución, sino adoptar la medida cautelar de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del secretario de justicia de la Sala Primera de 2 de junio de 2021, al haberse personado en las actuaciones principales del presente recurso la procuradora de los tribunales doña María Claudia Munteanu en nombre y representación de la entidad Pera Assets Designated Activity Company, se concede un plazo de tres días a dicha parte, para que dentro de este término alegue lo que estime pertinente en relación con la petición de suspensión interesada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presentado el 9 de junio de 2021, la procuradora de los tribunales doña María Claudia Munteanu, en nombre y representación de Pera Assets Designated Activity Company, presentó su escrito de alegaciones en el que se opone a la suspensión. Tras reproducir distintos autos del Tribunal Constitucional en los que se deniegan las suspensiones interesadas, señala que la recurrente se limita a solicitar la suspensión sin acreditar ningún tipo de perjuicio que pueda considerarse irreparable, teniendo como única finalidad la de entorpecer y demorar el procedimiento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290-2018,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entre otros, en los AATC 27/2020, de 24 de febrero;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la anotación preventiva constituye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290-2018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