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5881-2020, promovido por la entidad Comercial Agrícola Aragonesa, S.A., contra el auto de 21 de septiembre de 2020 dictado por el Juzgado de Primera Instancia e Instrucción núm. 1 de Chiclana de la Frontera (Cádiz),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noviembre de 2020, tuvo entrada en el registro general de este tribunal un escrito del procurador don José Noguera Chaparro, en representación de la entidad Comercial Agrícola Aragonesa, S.A., por el que se interpuso recurso de amparo contra el auto de 21 de septiembre de 2020 dictado por el Juzgado de Primera Instancia e Instrucción núm. 1 de Chiclana de la Frontera (Cádiz), que inadmitió un incidente de nulidad de actuaciones promovido por la parte actora en el marco del juicio de ejecución hipotecaria núm. 854-2016.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16 de noviembre de 2016, la entidad Caixabank, S.A., interpuso demanda ejecutiva en reclamación del saldo deudor por impago de un préstamo garantizado con hipoteca contra la ahora recurrente, Comercial Agrícola Aragonesa, S.A. En la demanda se fijaba como domicilio, “a efectos de requerimientos y notificaciones”, el de la finca hipotecada, sita en la urbanización “Cr Novo Sancti-Petri Es:1; Pl: 00; Pt 25 Rs Hoyo-4, 11130”, en Chiclana de la Frontera (Cádiz).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demanda fue turnada al Juzgado de Primera Instancia e Instrucción núm. 1 de Chiclana de la Frontera (Cádiz) que, en fecha 16 de enero de 2017, en el marco del juicio de ejecución hipotecaria núm. 854-2016, dictó auto despachando ejecución contra la ahora demandante de amparo, disponiéndose en dicha resolución su notificación al ejecutado “con entrega de copia de demanda ejecutiva y de los documentos acompañados, sin citación ni emplazamiento, para que, en cualquier momento pueda personarse en la ejecución”. Junto con la demanda se aportó copia de la escritura de constitución del préstamo hipotecario, en la que figuraba como domicilio de la entidad Comercial Agrícola Aragonesa, S.A., el inmueble ubicado en la calle Galeón, 27 de Madrid. Ese mismo inmueble figuraba como el domicilio de la persona que actuaba en representación de la entidad, don Juan Ignacio López Rodríguez, mientras que una tercera persona, don Juan Muñoz Quesada, que actuaba como avalista, figuraba con un domicilio en la calle Vicente Jiménez, 3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juzgado practicó la notificación y requerimiento de pago en el domicilio de la finca hipotecada. Tras un primer intento realizado por correo certificado, que fue devuelto por “ausente reparto”, se encomendó la notificación al servicio común del partido judicial de Chiclana de la Frontera, que realizó varios intentos en el mismo domicilio. En concreto, en fecha 13 de marzo de 2017 se dejó aviso por “no encontrarse en el mismo”; y lo mismo sucedió en fecha 29 de marzo de 2017; dejándose finalmente constancia de todo ello por diligencia de 17 de abril de 2017, con devolución al juzgado de procedencia.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diligencia de ordenación de 19 de abril de 2017, se dio vista de lo actuado a la parte ejecutante que, mediante escrito de 24 de abril, solicitó la práctica de la notificación por edictos, “al amparo de lo dispuesto en el art. 686.3 LEC”. Así se acordó por diligencia de ordenación de 5 de mayo de 2017, “de conformidad con lo establecido en los artículos 156.4, 164 y 157.1 de la LEC”, llevándose a efecto en esa fecha y hasta el 31 del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ahora demandante de amparo compareció en las actuaciones mediante escrito de 7 de enero de 2020, y el día 25 de ese mismo mes promovió un incidente excepcional de nulidad de actuaciones. En su escrito, la entidad recurrente alegó que había tenido conocimiento de la existencia del procedimiento el día 7 de enero de 2020, a través de conversación telefónica con la entidad Caixabank, S.A. Personado ese mismo día en la causa, tuvo acceso a las actuaciones el 17 de enero de 2020, pudiendo comprobar que no se le había notificado personalmente la existencia del procedimiento, y que ni siquiera se había intentado practicar la notificación en el domicilio que figuraba en la escritura de préstamo, que es el domicilio social propiedad de la entidad, como acreditaba con las notas simples registrales correspondientes. Tras reseñar los arts. 11 y 241 de la Ley Orgánica del Poder Judicial (LOPJ), y los arts. 155, 156, 166, 247 y 399 de la Ley de enjuiciamiento civil (LEC), el escrito invocaba expresamente la doctrina de este tribunal sobre el carácter supletorio y excepcional de la notificación edictal, y la necesidad de agotar previamente las gestiones para la averiguación del domicilio de la parte ejecutada, con cita y extracto parcial de las SSTC 122/2013, 30/2014, 126/2006 y 215/2006, así como de la STS (Sala Tercera) de 25 de mayo de 2002. Finalizaba interesando la nulidad de las actuaciones y su retroacción al momento inmediatamente anterior a la providencia de 16 de enero de 2017, a fin de que le fuera notificada la demanda y hacer valer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incidente fue desestimado por auto de 21 de septiembre de 2020, con el siguiente razonamiento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la parte ejecutada la necesidad de proceder a declarar la nulidad del procedimiento por entender que en el mismo concurre una infracción al haberse vulnerado el art. 53 de nuestra Constitución, por entender que la parte ejecutada no ha podido tener conocimiento de la presente ejecución dado que las notificaciones se han venido llevando a cabo en el domicilio en que radicaba el bien hipotecado, y no en el domicilio social de la empresa. La parte ejecutante se opone a dicha nulidad considerando que se han agotado las vías de notificación al ejecutado.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pueden compartirse las alegaciones vertidas por la parte ejecutada e instante de la presente nulidad y ello por cuanto que como se refiere en la propia escritura de constitución del préstamo hipotecario del que se deriva el presente procedimiento el domicilio designado a efectos de requerimientos y de notificaciones era el designado por el deudor, que no es otro que el sito en residencial Hoyo 4, domicilio en el que se realizaron las notificaciones por parte del SCNE [servicio común de notificaciones edictales] en fechas 13 de marzo de 2017 y 29 de marzo de 2017 resultando las mismas negativas, siendo este además el domicilio del administrador único de la sociedad ejecutada, por lo que no se observa la indefensión aducida.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por la sociedad ahora ejecutante se notificó la cesión a la ejecutada por burofax de 19 de febrero de 2019 con acuse de recibo, por lo que la ejecutada tenía pleno conocimiento de que se había incluso producido una cesión del crédito y que la parte ejecutante venía a ser ahora SDDV SARL [Société de détartrage et de désinfection Vinicol]”.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alegan las siguientes vulneraciones: (i) derecho a la tutela judicial efectiva (art. 24.1 CE), en su vertiente de derecho a no padecer indefensión, por falta de notificación efectiva de la demanda, lo que le ha impedido ejercitar sus derechos en el marco de un proceso que se ha seguido sin su conocimiento; (ii) derecho a la tutela judicial efectiva (art. 24.1 CE), en su vertiente de derecho a una resolución motivada, por ignorar la doctrina de este tribunal expuesta en la STC 122/2013, y reiterada en las SSTC 30/2014, 126/2014, 169/2014, 200/2016, 6/2017, 83/2018, 86/2020 y 125/2020; y (iii) derecho a un proceso con todas las garantías (art. 24.2 CE), en particular, a ser informado de la existencia de un proceso seguido contra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brevemente los hechos que consideró de su interés, la demanda reitera las quejas formuladas en el escrito a través del cual promovía la nulidad de actuaciones. Así, destaca la doctrina de este tribunal sobre la relevancia de los actos de comunicación procesal y, con cita y reseña expresa de las SSTC 122/2013 y 125/2020, considera que la actuación judicial le ha causado indefensión material, por cuando se optó por la notificación edictal sin haber agotado las gestiones necesarias para determinar su domicilio, que obraba en las actuaciones, lo que le impidió tener conocimiento de la existencia del procedimiento y hacer valer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que el asunto tiene especial trascendencia constitucional, consistente en que “el órgano judicial podría haber incurrido en una negativa manifiesta del deber de acatamiento de la doctrina de este tribunal”, con cita de la STC 155/2009, FJ 2 f), y de las posteriores SSTC 133/2011, 155/2015 y 5/2017.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digo la entidad demandante solicita “la suspensión cautelar del auto de fecha 21 de septiembre de 2020 […] así como del decreto y edicto de subasta de 31 de mayo de 2017 sobre el inmueble [hipotecado] […], en tanto se resuelve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Sección Cuarta, de este Tribunal Constitucional, dictó providencia el 17 de diciembre de 2021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habiéndose interesado ya la remisión de certificación de las actuaciones jurisdiccionales, en aplicación de lo dispuesto en el art. 51 LOTC, diríjase atenta comunicación al Juzgado Mixto núm. 1 de Chiclana de la Frontera a fin de que, en plazo que no exceda de diez días, se proceda a emplazar a quienes hubieran sido parte en el procedimiento, excepto la parte recurrente en amparo, para que, si lo desean, puedan comparecer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testimonio de los particulares necesarios, fórmese la correspondiente pieza separada de suspensión en la que se acordará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nueva providencia dictada por la Sección Cuarta de este tribunal en la misma fecha de la admisión del recurso,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entidad recurrente presentó escrito de alegaciones en fecha 3 de enero de 2022, ratificando su escrito de demanda y las vulneraciones allí invocadas. En cuanto a la concreta petición de suspensión, la fundamenta en lo dispuesto en el art. 56 LOTC, que transcribe, y la justifica en que, de no acordarse, se “podría constituir la subasta del bien inmueble”, considerando que “este hecho sería de difícil reparación”, dado que, al adjudicarse a un nuevo propietario, “implicaría […] iniciar un procedimiento para recuperar la propiedad”. Finalmente, considera que la suspensión “no supone para la parte contraria ningún perjuicio teniendo en cuenta además que tampoco […] instó al juzgado para que realizara intentos de notificación […] a pesar de que era consciente de que […] [la recurrente] no conocía el procedimiento seguido contra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este Tribunal Constitucional formalizó su escrito de alegaciones en esta pieza el 7 de enero de 2022, interesando que se adopte únicamente la medida de anotación preventiva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reseñar los antecedentes que consideró de interés, expone la doctrina general de este tribunal —con profusión de citas— sobre el carácter excepcional y la aplicación necesariamente restrictiva de la medida de suspensión de la resolución impugnada en amparo (art. 56.2 LOTC), así como sobre el concepto de “perjuicio irreparable” y su concreción en el ámbito patrimonial o económico. A lo que añade nuestra doctrina sobre la carga que recae sobre el recurrente, a la hora de alegar los concretos perjuicios que podrían derivarse de la ejecución de la resolución impugnada. Conforme a ese contexto, el Ministerio Fiscal considera aplicable a este supuesto la misma solución acordada en los AATC 27/2020 y 28/2020, ambos de 24 de febrero, FJ 3, que transcribe. En consecuencia, el fiscal interesa la desestimación de la suspensión solicitada y que, en su lugar, se acuerde “la medida cautelar de anotación preventiva de la demanda de amparo en el Registro de la Propiedad número 2 de Chiclana de la Frontera, finca registral núm. 53 344”.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y dirigida frente al procedimiento de ejecución hipotecaria núm. 854-2016 seguido en el Juzgado de Primera Instancia e Instrucción núm. 1 de Chiclana de la Frontera.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derivados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25 de febrero, FJ 2; 74/2013, de 8 de abril, FJ 2; 152/2013, de 8 de julio, FJ 2; 37/2014, de 10 de febrero, FJ 2; 282/2014, de 17 de noviembre, FJ 3,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de la que se ha hecho mención permite concluir, de acuerdo con el fiscal, que resulta improcedente la suspensión solicitada y, por el contrario, aparece como medida idónea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aparece huérfana de argumentación sobre la medida solicitada. Ya en la pieza, la parte recurrente se limita a poner de manifiesto, genéricamente, que la eventual adjudicación a terceros puede generarle perjuicios de difícil reparación, al tener que acudir a la vía judicial para recuperar la titularidad sobre el inmueble subastado.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circunstancias, no es posible afirmar que la continuación del curso del procedimiento judicial, incluso con un desplazamiento posesorio, provoque por sí solo un perjuicio determinante de la pérdida de la finalidad del presente recurso de amparo, que es el elemento a tener en cuenta en este trámite. 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la adquisición del bien por tercero lo hiciera irreivindicable; situación a la que se hace referencia genérica en el escrito de alegaciones presentado en esta pieza. Esta misma ha sido la solución acogida, entre otros, en los AATC 106/2017, de 17 de julio, FJ 3; 88/2018, de 17 de septiembre, FJ 5, y 2/2019, de 9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y, de acuerdo con el ATC 95/2015, de 25 de mayo,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decisión en esta materia se limita, en tal sentido,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 (AATC 21/2018, de 5 de marzo, FJ 5, y 88/2018, de 17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854-2016 seguido en el Juzgado de Primera Instancia e Instrucción núm. 1 de Chiclana de la Frontera (Cádiz).</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