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24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Juan Antonio Xiol Ríos, presidente; los magistrados don Antonio Narváez Rodríguez, don Cándido Conde-Pumpido Tourón, don Ramón Sáez Valcárcel y don Enrique Arnaldo Alcubilla, y la magistrada doña Concepción Espejel Jorquera, en el recurso de amparo núm. 521-2021, promovido por la mercantil Rafael Muñoz Quirós,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enero de 2021, el procurador de los tribunales don Jesús Aguilar España, en nombre y representación de la mercantil Rafael Muñoz Quirós, S.L., bajo la dirección del abogado don José Julián Carnero Martín-Buitrago, interpuso recurso de amparo contra la sentencia núm. 83/2017, de 11 de mayo, del Juzgado de Primera Instancia núm. 3 de Alcázar de San Juan, dictada en proceso de reclamación de cantidad (juicio verbal núm. 73-2017), que ha sido después confirmada en apelación por la Audiencia Provincial de Ciudad Real; y contra el auto de 2 de diciembre de 2020, por el que la Sala de lo Civil del Tribunal Supremo inadmitió el recurso de casación e infracción procesal interpuesto frente a aquellas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en el proceso de amparo la vulneración del derecho a la tutela judicial efectiva sin indefensión por considerar que ha sido indebidamente llamada a juicio por medio de su dirección electrónica habilitada, en vez de hacerlo a través de una notificación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recoge en la demanda, son antecedentes relevantes para resolver la pretensión planteada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Primera Instancia núm. 3 de Alcázar de San Juan se formuló reclamación de cantidad contra la parte recurrente, dando lugar al juicio verbal núm. 73-2017. El emplazamiento de la mercantil para comparecer en juicio se llevó a efecto a través de su dirección electrónica habilitada. El juicio verbal se desarrolló el 26 de abril de 2017 sin que en él compareciera la entidad demandada, que fue declarada en rebeldía. El juicio de primera instancia finalizó mediante sentencia estimatoria de 11 de mayo de 2017, que le condenó al pago de 3908,30 €, más intereses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Conocida extraprocesalmente la existencia de la reclamación judicial, la recurrente en amparo se personó en la causa judicial e interpuso recurso de apelación frente a la sentencia de primera instancia, que fue desestimado mediante sentencia de 27 de marzo de 2018, de la Sección Primera de la Audiencia Provincial de Ciudad Real (rollo de apelación núm. 502-2017). El posterior recurso de casación y extraordinario por infracción procesal presentado fue inadmitido mediante auto de 2 de diciembre de 2020, que apreció que las resoluciones impugnadas eran irrecurribles.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como consecuencia de un indebido emplazamiento inicial acordado a través de su dirección electrónica habilitada. En la demanda se solicita por medio de otrosí la suspensión de la ejecución de la sentencia estimatoria de la acción civil de reclamación de cantidad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octubre de 2021 la Sección Tercera de este tribunal acordó admitir a trámite el recurso de amparo y dirigir comunicación a los órganos judiciales, a fin de que, en el plazo de diez días, remitieran certificación o fotocopia adverada de las actuaciones correspondientes y se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misma fecha, la Sección acordó formar la oportuna pieza para la tramitación del incidente de suspensión y, conforme a lo dispuesto en el art. 56 de la Ley Orgánica del Tribunal Constitucional (LOTC), concedió un plazo común de tres días a la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mercantil demandante ha reiterado su solicitud cautelar de suspensión de la resolución impugnada mediante escrito registrado el 15 de octubre de 2021, en el que pone de manifiesto que, mediante Decreto de 14 de junio de 2021, ha sido acordada la suspensión del proceso civil hasta la resolución por este tribunal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21 de octubre de 2021, se opuso a la pretendida suspensión del procedimiento civil en el que se han dictado las resoluciones cuestionadas en la solicitud de amparo. Considera que, dado el contenido exclusivamente económico del pronunciamiento cuestionado, no ha sido acreditada, ni tan siquiera alegada fundadamente, la irreparabilidad de los perjuicios que podrían producirse de continuar la tramitación del proceso judicial previo, aun en el caso de que la pretensión de amparo fuera estimada.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si es procedente la suspensión cautelar instada por la parte recurrente en amparo, que se dirige frente al pronunciamiento judicial estimatorio que le condenó al pago de 3 908,30 €, más intereses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pues, por más que puedan producir efectos desfavorables a quien demanda el amparo, su reparación posterior, en caso de estimarse este, es meramente económica y por ello no dificultosa (ATC 287/1997, por todos). La aplicación al caso aquí planteado de la doctrina a la que se ha hecho mención permite concluir, de acuerdo con lo solicitado por el Ministerio Fiscal, que resulta improcedente la suspensión solicitada atendida la entidad y naturaleza patrimonial de la condena civil cuestionada (ATC 152/2020, de 30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expuesto hemos de añadir que la propia sociedad demandante ha alegado que el proceso civil se encuentra ya suspendido en la vía judicial previa hasta tanto se resuelva este proceso de amparo, por lo que no concurre tampoco el riesgo de que la ejecución del acto impugnado hiciera perder al recurso de amparo su finalidad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procede acceder a la pretensión cautelar interesada en relación con la posibilidad de continuación del proceso de ejecución de la sentencia estimatoria cuestionada pues, atendidas las circunstancias ya reseñadas, no se acredita el riesgo aducido ni la existencia de daños irreversibles o de muy difícil reparación que impidan la efectividad de la restauración del derecho fundamental vulnerado en caso de un eventual otorgamiento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de la ejecución de la sentencia núm. 83/2017, de 11 de mayo, del Juzgado de Primera Instancia núm. 3 de Alcázar de San Juan, dictada en proceso de reclamación de cantidad núm. 73-2017.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