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11 de julio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1434-2021, promovido por la entidad Iveco, S.p.A., contra el auto de 25 de enero de 2021, dictado por el Juzgado de lo Mercantil núm. 3 de Gijón. Ha sido parte la entidad Casa Severón, S.L., y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marzo de 2021, el procurador de los tribunales don Victorio Venturini Medina, en representación de la entidad Iveco, S.p.A., bajo la dirección de los letrados don Faustino Cordón Moreno y don Luis López Alonso, ha interpuesto recurso de amparo contra la resolución ya reseñada, por la que se inadmitió un incidente de nulidad de actuaciones promovido por la parte actora en el marco del procedimiento ordinario núm. 290-2019.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27 de mayo de 2019, la entidad Casa Severón, S.L., interpuso demanda por reclamación de cantidad contra la entidad Iveco, S.p.A., que dio lugar al procedimiento ordinario núm. 290-2019, seguido ante el Juzgado de lo Mercantil núm. 3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fijaba como domicilio de la demandada la vía Puglia, en la ciudad de Turín (Italia), pero, “a efectos de notificación y emplazamiento” se indicaba el “domicilio de la filial […] en España sita en Avda. de Aragón, […],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24 de julio de 2019, tras la subsanación de defectos formales, se acordó la admisión a trámite de la demanda y el emplazamiento de la parte demandada, con los apercibimientos legales correspondientes, a fin de que pudiera comparecer y contestar a la demanda. En el mismo decreto se señalaba que el emplazamiento se llevaría a cabo “en el domicilio señalado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practicó la notificación y emplazamiento en el domicilio sito en Madrid. El primer intento se llevó a cabo el día 24 de septiembre de 2019 y resultó infructuoso. Según consta en la diligencia cumplimentada a tal efecto, se rechazó la notificación porque la entidad demandada no tenía su sede social en ese domicilio. A instancias de la parte demandante, por diligencia de 17 de octubre de 2019, se acordó un nuevo intento de emplazamiento en la misma dirección, con idéntico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Transcurrido el plazo para la personación y contestación a la demanda sin que concurriese la entidad demandada, por diligencia de ordenación de 3 de enero de 2020 se le declaró en rebeldía, con la consiguiente notificación del resto de actuaciones judiciales por medio de edictos [art. 497.1 de la Ley de enjuiciamiento civil (LEC)]. El procedimiento siguió su tramitación con la convocatoria de audiencia previa el día 13 de febrero de 2020, que se celebró sin la comparecencia de la demandada. La demanda fue estimada íntegramente por sentencia de 8 de mayo de 2020, que también fue notificada por edictos. A instancia de la demandante se inició el procedimiento de ejecución, registrado bajo el número 89-2020.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ahora demandante de amparo compareció en las actuaciones mediante escrito de 25 de noviembre de 2020, en el que se indicaba haber tenido conocimiento extraprocesal del procedimiento el día anterior, solicitándose la personación y el traslado de todo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16 de diciembre de 2020 la ahora actora promovió un incidente de nulidad de actuaciones en el que alegó que había tenido conocimiento de la existencia del procedimiento a través de la entidad Iveco España, S.L., que recibió un oficio de embargo sobre las cantidades que esa empresa tuviera pendientes de abonar a la entidad Iveco, S.p.A., para el pago de las cantidades reclamadas en el procedimiento de ejecución núm. 89-2020. Con cita y reseña parcial de diversas sentencias del Tribunal Constitucional (como las dictadas el 13 de noviembre de 2000 y el 7 de septiembre de 2015), se recordaba la relevancia del primer emplazamiento para la constitución de la relación procesal y el ejercicio del derecho de defensa; se denunciaba el incumplimiento del deber de emplazamiento en el domicilio de la parte demandada (art. 155.1 LEC) y la ilicitud de las notificaciones practicadas en el domicilio en la entidad Iveco España, S.L., al tratarse de dos sociedades distintas sin relación de matriz y/o filial entre sí. Además, consideraba que el juzgado había mostrado una conducta contradictoria, al haber procedido a la citación de la entidad en su domicilio de Turín, aportando copias de las cédulas de emplazamiento emitidas en otros procedimientos seguidos ante el mismo órgano judicial, en fechas coetáneas al proceso origen de este amparo, en concreto, el día 10 de octubre de 2019 (procedimiento ordinario núm. 398-2019) o el 28 de enero de 2020 (procedimiento ordinario núm. 595-2019). Finalizaba interesando la suspensión de la ejecución iniciada, la nulidad de todas las actuaciones y su retroacción al momento inmediatamente posterior al decreto de admisión a trámite de la demanda, a fin de que le fuera notificada y pudiera hacer valer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Tras conceder audiencia a la entidad Casa Severón, S.L., el incidente fue desestimado por auto de 25 de enero de 2021, con el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clave para la resolución del presente incidente extraordinario de nulidad de actuaciones radica en determinar si se ha causado indefensión a la parte demandada por emplazarla en el domicilio de una empresa filial, Iveco España, y no en el domicilio de la empresa matriz, Iveco, S.p.A., afirmándose por la incidentante que Iveco España no es propiedad de Iveco, S.p.A., sino de CNH Industrial NV, dando a entender que no existe vinculación entre las tres sociedades o, al menos, entre la sociedad emplazada y la efectivamente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documentación obrante en las actuaciones y la referencia que ofrece la parte demandante de los metadatos de acceso en internet de Iveco, S.p.A., acreditan que la demandada es empresa matriz del grupo corporativo Iveco, que desarrolla su actividad en España a través de la filial del grupo en España ‘Iveco España’, propiedad al 100 por 100 de CNH Industrial NV, entidad esta última propiedad al 100 por 100 de Iveco, S.p.A. Existe, pues, una conexión lógica y justificada de vinculación corporativa que permite la aplicación al caso de autos del contenido del artículo 155.3 de la de la Ley 1/2000, de 7 de Enero, de enjuiciamiento civil, que prevé expresamente que a los efectos de actos de comunicación podrá designarse como domicilio el lugar en que se desarrolle actividad profesional o laboral no ocasional. Y esto es lo que este órgano judicial ha llevado a cabo, por lo que no procede invocar nulidad de actuaciones cuando la potencial indefensión se la ha causado a sí misma la Entidad demandada. Es principio general que el Derecho no puede proteger a quien no se protege a sí mismo y en este caso el rechazo del emplazamiento por parte de Iveco España, seguramente siguiendo órdenes corporativas expresas de dificultar u obstaculizar el mismo a los cientos o miles de afectados por el cartel del que formó parte su matriz, resulta absolutamente injustificado y contrario al precepto antes señalado, quedando obligada a hacer llegar a su matriz la demanda, al amparo del precepto citado, por lo que debe rechazarse la pretendida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alegan las siguientes vulneraciones: (i) derecho a la tutela judicial efectiva sin indefensión (art. 24.1 CE), en sus manifestaciones de derecho de acceso al proceso y derecho de defensa, por falta de notificación efectiva de la demanda en la forma prevista en la norma procesal, lo que le ha impedido comparecer en el procedimiento para ejercitar sus derechos en el marco de un proceso que se ha seguido sin su conocimiento; (ii) derecho a la tutela judicial efectiva (art. 24.1 CE), en su vertiente de derecho a una resolución motivada, porque el órgano judicial no ha expuesto las razones por las que consideraba procedente apartarse de la doctrina de este tribunal sobre el primer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brevemente los hechos que consideró de su interés, la demanda reitera las quejas formuladas en el escrito a través del cual promovía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destaca la doctrina de este tribunal sobre la relevancia de los actos de comunicación procesal y su vinculación con el derecho fundamental alegado, con cita y reseña parcial de las SSTC 30/2014, 39/2018, 32/2019 y 47/2019. El recurrente considera que el juzgado no realizó el emplazamiento conforme a las normas procesales, tal y como han sido interpretadas por este tribunal, causándole indefensión material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insiste en que el juzgado disponía, desde el primer momento, de su domicilio social en Turín y, sin embargo, no realizó gestión alguna para notificarle allí la demanda. A su juicio, se incumplió lo dispuesto en el Reglamento (CE) núm.1393/2007, de 13 de noviembre, del Parlamento Europeo y del Consejo, relativo a la notificación y al traslado en los Estados miembros de documentos judiciales y extrajudiciales en materia civil o mercantil (“notificación y traslado de documentos”) y por el que se deroga el Reglamento (CE) núm.1348/2000 del Consejo. Según la STJUE de 19 de diciembre de 2012 (asunto Alder), no concurría ninguno de los supuestos que permiten excluir la aplicación de ese reglamento, es decir, que el domicilio sea desconocido o que se haya designado un representante a tal efecto en el Estado donde se tramita el procedimiento. Por lo tanto, el Derecho de la Unión Europea (UE) resultaba de aplicación preferente al derecho interno, en particular, a lo dispuesto en el art. 155. 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incide en que Iveco, S.p.A., e Iveco España, S.L., son dos entidades distintas, aunque pertenezcan al mismo grupo de sociedades. No tienen relación de matriz-filial entre sí, ni tampoco la de sucursal, representante o delegación. Tampoco comparten el mismo domicilio ni servicios de recepción común de notificaciones. Del mismo modo, no consta que la entidad Iveco, S.p.A., ejerza su actividad profesional o laboral no ocasional en el domicilio de la entidad Iveco España, S.L. Todo ello supuso el incumplimiento de lo dispuesto en el art. 155.1 y 3 LEC, y determinó que Iveco S.p.A., no tuviera ni pudiera tener conocimiento de la existencia del procedimiento, lo que diferencia este supuesto del contemplado en la STC 162/2002, de 16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incluso después de realizar una primera notificación en el domicilio de otra entidad, con personalidad jurídica distinta y con resultado negativo, el juzgado insistió en un nuevo emplazamiento en el mismo domicilio sito en Madrid, a instancia de la parte demandante. Tras lo cual, se acordó la notificación por edictos sin realizar ninguna otra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la actuación judicial le ha causado indefensión material, por cuanto se optó por la notificación mediante edictos sin haber agotado las gestiones necesarias para notificarle la demanda en su domicilio, que obraba en las actuaciones, lo que le impidió tener conocimiento del procedimiento y hacer valer sus derechos. Una vulneración que no fue reparada en el posterior incidente de nulidad de actuaciones, que fue desestimado por la resolución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la parte actora interesa la estimación del recurso de amparo, la declaración de que ha sido vulnerado su derecho a la tutela judicial efectiva, así como la nulidad del auto impugnado “y de cuantas actuaciones fueron realizadas con anterioridad en el proceso del que trae origen, a partir del momento en que se realizó 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finalmente, que el asunto tiene especial trascendencia constitucional, dado que el Tribunal todavía no se ha pronunciado sobre un supuesto como el que ahora se plantea [STC 155/2009, FJ 2 a)] consistente en una “notificación realizada a una sociedad con domicilio social en el extranjero a través de otra sociedad domiciliada en España a la que se atribuye la condición de filial”. Del mismo modo, con cita y reseña parcial de las SSTC 162/2002, 122/2013, 181/2015 y 200/2016, considera que el juzgado habría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Constitucional dictó providencia el día 17 de diciembre de 2021,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ha examinado el recurso de amparo y ha acordado admitirlo a trámite, apreciando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diríjase atenta comunicación al Juzgado de lo Mercantil 3 de Gijón, a fin de que, en plazo que no exceda de diez días, remita certificación o fotocopia adverada de las actuaciones correspondientes al procedimiento ordinario núm. 290-19; debiendo previamente emplazar, para que en el plazo de diez días pueda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23 de febrero de 2022, se tuvo por personado y parte en el procedimiento a la procuradora doña Virginia López Guardado, en nombre y representación de la entidad Casa Severón, S.L., previa presentación de escrito a tal efecto. Igualmente, se acordó dar vista de las actuaciones a las partes personadas y al Ministerio Fiscal, por plazo común de veinte días, a fin de que pudieran presentar las alegaciones que estimasen pertinentes, conforme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Casa Severón, S.L., presentó su escrito de alegaciones en fecha 25 de marzo de 2022,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realiza una exposición de los hechos que consideró de interés, destacando entre ellos que, por un lado, aportó en su momento un documento de información mercantil en el que figura el accionariado y el domicilio de la entidad Iveco España, S.L., y que, por otro, la entidad Iveco, S.p.A., compareció en el procedimiento a los pocos días de iniciarse la fase de ejecución. También, pone de manifiesto que la sentencia fue notificada a través del “Boletín Oficial del Principado de Asturias”, por lo que resulta exigible a una empresa de ese tipo haber empleado la diligencia mínima necesaria para tener conocimiento del proceso y, al menos, poder recurrir la sentencia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vulneraciones alegadas, entiende que la notificación inicial se ajustó a lo dispuesto en el art. 155.1 LEC, ya que se realizó en la sede de una entidad que forma parte del mismo grupo empresarial. Aporta de nuevo una información mercantil de la que se deducen los siguientes datos fácticos: que ambas entidades compartieron en su momento el mismo domicilio; que están participadas mayoritariamente por una misma tercera entidad; y que comparten una misma historia y política de privacidad, según figura en sus páginas web.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resulta aplicable a este caso la STJUE dictada en el asunto C-882/19, relativa a una cuestión prejudicial sobre el art. 101 del Tratado de funcionamiento de la Unión Europea (TFUE), en la que se admite que la “víctima de una práctica contraria a la competencia” pueda “ejercitar una acción de resarcimiento por daños y perjuicios indistintamente contra una sociedad matriz […] o contra una filial […], siempre que estas sociedades constituyan una unidad económica y formen juntas, por consiguiente, la referida empresa” y con independencia de que una de ellas controle a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comparte la apreciación del juzgado sobre la “actuación torticera” y la “mala praxis” llevada a cabo con “ánimo dilatorio” por la entidad ahora recurrente, en los asuntos relacionados con el denominado “cartel de los camiones”.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entiende aplicable la doctrina expuesta en la STC 208/2002, de 11 de noviembre, que transcribe parcialmente, al considerar que se daban las mismas circunstancias que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ante el Tribunal Constitucional presentó su escrito de alegaciones el día 8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detallar los antecedentes fácticos que consideró más relevantes, la fiscal entiende que se han cumplido los requisitos de admisibilidad del recurso. A continuación, expone la doctrina de este tribunal sobre el primer emplazamiento, recogida en la STC 47/2019, con cita de otras anteriores, y en las más recientes SSTC 179/2021 y 7/2022, dictadas en recursos de amparo interpuestos precisamente por la misma entidad ahora recurrente, aunque en situaciones fácticas distintas. Igualmente, se extracta parcialmente la doctrina contenida en las SSTC 65/1999, 106/2006 y 28/2010 sobre los requisitos de la notificación por edictos, la necesidad de agotar previamente todas las posibilidades de citación en el domicilio y su relación con el derecho de defensa y la efectiva indefensión. También, se hace una referencia a las SSTC 162/2002 y 208/2002, en las que se abordó un supuesto de notificación defectuosa que, sin embargo, no había impedido el conocimiento extraprocesal del procedimiento, lo que excluía la indefensión. Seguidamente, se recuerda la necesidad de motivación de las resoluciones (STC 248/2006) y se plantea la eventual relevancia de lo dispuesto en el Reglamento (CE) núm. 1393/2007, de 13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toda esta doctrina al presente caso conduce, según la fiscal, a la estimación del amparo. A su juicio, la mera declaración de competencia del Juzgado de lo Mercantil de Gijón implica la aceptación de que la empresa demandada no tiene su domicilio en territorio español. Al tratarse de un supuesto especial de competencia desleal, se entiende que el órgano judicial ha aplicado la regla prevista en el art. 52.1.12 LEC, en su último inciso, que considera competente el tribunal del “lugar donde se haya realizado el acto de competencia desleal o donde se produzcan sus efectos, a elección del demandante”, lo que presupone que la empresa demandada no tenga su domicilio en nuestro país. Sin embargo, al rechazar el incidente de nulidad planteado, el juzgado se refiere a la regla prevista en el art. 155.3 LEC, considerando que la entidad demandada desarrolla en territorio español una “actividad profesional o laboral no ocasional”, sobre la base de los vínculos existentes con Iveco España,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se ha incumplido lo dispuesto en el art. 155.1 LEC, ya que la notificación del primer emplazamiento no se ha realizado en el domicilio de la empresa demandada, quebrantando así la doctrina constitucional ya expuesta. Del mismo modo, considera que la situación de indefensión no se ha producido por causa imputable a la recurrente, entendiendo que no estamos en el mismo supuesto que el contemplado en las SSTC 162/2002 y 208/2002, en el que había dos empresas codemandadas.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ha pretendido en este caso que la filial española haga llegar el emplazamiento a la sociedad que se considera matriz, sin que conste la atribución de representación alguna a tales efectos, ni el ejercicio de una actividad profesional no ocasional, basada en meras conjeturas del órgano judicial. A pesar de que constaba el domicilio social de la demandada y de un primer intento infructuoso, se intentó la notificación por segunda vez en la misma dirección, pero no se intentó en el domicilio que figuraba en la propia demanda, para lo que podía haberse hecho uso del instrumento previsto en el Reglamento (CE) núm. 1393/2007. Una vez planteado el incidente de nulidad de actuaciones, se desestimó sin que constara un eventual conocimiento extraprocesal de la existencia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Fiscal, la regla general es la prevista en el art. 155.1 LEC, mientras que los medios alternativos contemplados en el apartado tercero del mismo precepto solo pretenden lograr la plena efectividad de la notificación a las partes no personadas. “En consecuencia, la utilización de medios alternativos únicamente podría estar justificada para la consecuencia de una notificación eficaz, no al contrario, considerar que el cumplimiento de una de ellas sin resultado positivo ya surte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finaliza su escrito interesando que se estime el presente recurso de amparo y que, en su virtud, se reconozca que se ha vulnerado el derecho a la tutela judicial efectiva sin indefensión (art. 24.1 CE), en su vertiente de acceso al proceso, así como a la obtención de una resolución fundada en Derecho; que se restablezca a la entidad demandante en su derecho, acordándose la nulidad de los “actos relativos al primer emplazamiento y citación del demandado para contestar la demanda”, así como del auto de 25 de enero de 2021; y la retroacción de las actuaciones “al momento del emplazamiento, dando nuevo traslado de la demanda para que se proceda a su contestación por parte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7 de julio de 2022,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25 de enero de 2021 dictado por el Juzgado de lo Mercantil núm. 3 de Gijón, que desestimó un incidente de nulidad de actuaciones promovido por la recurrente en el marco del procedimiento ordinario núm. 290-2019, instado por la entidad Casa Severón, S.L., en reclamación de una determinada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denuncia que la resolución impugnada ha vulnerado su derecho a la tutela judicial efectiva y a no sufrir indefensión (art. 24.1 CE), en sus vertientes de derecho de acceso al proceso, derecho de defensa y derecho a obtener una resolución fundada en Derecho. El órgano judicial ha iniciado y tramitado un procedimiento sin haberle dado conocimiento de este y, por lo tanto, sin que haya tenido la posibilidad de ejercer su defensa, ya que no se han agotado todos los mecanismos posibles antes de proceder a la notificación por edictos. El juzgado consideró que el emplazamiento llevado a cabo en el domicilio en una supuesta empresa filial equivalía al realizado en su propio domicilio, que constaba en las actuaciones desde el primer momento. El auto impugnado no le ha restablecido en su derecho, al haberle denegado toda posibilidad de rectificación de las irregularidades invocadas. Por todo ello, solicita la nulidad del auto impugnado y de todas las actuaciones judiciales realizadas a partir del momento en que se realizó 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procede estimar el recurso y declarar que el derecho fundamental a la tutela judicial efectiva ha sido vulnerado por las razones ya expuestas en los antecedentes de esta sentencia. Sin embargo, la parte personada interesa la desestimación del recurso, al entender que la actuación judicial fue ajustada a Derecho y que, en todo caso, no se ha causado indefensión material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precisiones que siguen a continuación se formulan en salvaguarda del principio de seguridad jurídica que, conforme a la sentencia del Tribunal Europeo de Derechos Humanos de 20 de enero de 2015, dictada en el asunto Arribas Antón c. España, § 46, exige explicitar no solo los criterios de definición del requisito material de la especial trascendencia constitucional (como ya hiciera la STC 155/2009, de 25 de junio, FJ 2), “sino también su aplicación en los asuntos que se admiten a trámite, con el fin de asegurar con ello una buena administración de la Justicia” (por todas,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reconocido en el art. 24.1 CE, en sus diversas vertientes, ha sido objeto de numerosos pronunciamientos de este tribunal. Sin embargo, el presente recurso plantea un aspecto o faceta de ese derecho sobre el que no hemos tenido ocasión de emitir resolución alguna, lo que justifica la especial trascendencia constitucional del recurso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cuestión ahora planteada se centra en determinar si la notificación del primer emplazamiento realizado en el domicilio de una empresa que, según el órgano judicial actuante, es filial de la entidad demandada puede surtir plenos efectos y, en su caso, en qué condiciones, desde la perspectiva de la garantía del derecho a la tutela judicial efectiva, a fin de asegurar el acceso a la jurisdicción y el ejercicio ulterior del derecho de defensa. Una cuestión que puede ser abordada en el marco de nuestra doctrina consolidada sobre la relevancia de los actos de comunicación, como se expondrá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del Tribunal Constitucional sobre la relevancia de los actos de comunicación y la subsidiariedad de la notificación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este tribunal se ha pronunciado en reiteradas ocasiones sobre la relevancia de los actos de comunicación. En palabras de la STC 59/2002, de 11 de marzo, FJ 2, “el derecho de defensa, incluido en el derecho a la tutela judicial efectiva sin indefensión, que reconoce el art. 24.1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lo que, sin duda, impone a los órganos judiciales un especial deber de diligencia en la realización de los actos de comunicación procesal que asegure, en la medida de lo posible, su recepción por los destinatarios, dándoles así la oportunidad de defensa y de evitar la indefensión (SSTC 167/1992, de 26 de octubre; 103/1993, de 22 de marzo; 316/1993, de 25 de octubre; 317/1993, de 25 de octubre; 334/1993, de 15 de noviembre; 108/1994, de 11 de abril; 186/1997, de 10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los actos de comunicación es aplicable a todo tipo de procesos, y de este principio se deduce la subsidiariedad de la notificación por edictos. Así, con carácter general, se ha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(STC 122/2013, de 20 de mayo, FJ 3), “de manera que la comunicación edictal […] solo puede utilizarse cuando se hayan agotado los medios de averiguación del domicilio del deudor o ejecutado” (STC 122/2013, de 20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en pronunciamientos posteriores (SSTC 83/2018, de 16 de julio, FJ 4; 29/2020, de 24 de febrero, FJ 3; 62/2020, de 15 de junio, FJ 2; 86/2020, de 20 de julio, FJ 2, y 125/2020, de 21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la citada STC 59/2002, FJ 2, se aclaraba que “la indefensión que proscribe el art. 24.1 CE no es la meramente formal, sino la material, es decir, aquella que haya causado al demandado un real y efectivo menoscabo de sus posibilidades de defensa. Y hemos afirmado, en este sentido, que la indefensión ha de ser consecuencia de una acción u omisión atribuible al órgano judicial. Por ello, cuando la indefensión que se invoque sea imputable al propio interesado, al no haber actuado con la diligencia exigible para comparecer en el proceso tras conocer su existencia —aunque sea por otros medios distintos del emplazamiento—, adoptando una actitud pasiva con el fin de marginarse voluntariamente del procedimiento, no cabe apreciar la vulneración del derecho a la tutela judicial garantizado en el art. 24.1 CE, ya que no es admisible constitucionalmente una queja de indefensión de quien con su conducta propició o coadyuvó a la incomparecencia en el proceso (SSTC 43/1989, de 20 de febrero; 123/1989, de 6 de julio; 101/1990, de 4 de junio; 105/1995, de 3 de julio; 118/1997, de 23 de junio; 72/1999, 26 de abril; 74/2001, de 26 de marzo; 59/2002, de 11 de marzo,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resolución de este amparo ha de abordarse desde una serie de premisas que se deducen de nuestra doctrina: (i) que la efectividad de los actos de comunicación es absolutamente relevante para el ejercicio de los derechos fundamentales de carácter procesal; (ii) que los órganos judiciales han de actuar con la máxima diligencia posible para garantizar y cerciorarse de esa efectividad; (iii) que lo determinante, por tanto, es que la parte haya tenido o haya podido tener conocimiento de la notificación, en función de las circunstancias concurrentes; (iv) que la irregularidad en la ejecución de un acto de notificación solo vulnera el derecho a la tutela judicial efectiva cuando se haya causado una indefensión material, y no sea imputable a la parte demandada, y (v) que el sistema de notificación por edictos solo procederá cuando se hayan agotado todas las posibilidades que estuvieran razonablemente al alcance de los juzgados y tribunales para garantizar la vigencia de los derechos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Orden de enjuiciamiento de las vulneraciones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señala, entre otras, en la STC 57/2012, de 29 de marzo, FJ 2, el “análisis de las quejas de amparo ha de iniciarse, según constante jurisprudencia de este tribunal, dando preferencia a aquellas de las que podría derivarse una retroacción de actuaciones y, dentro de ellas, a las que, por determinar la retroacción a un momento anterior, hagan innecesario un pronunciamiento sobre las restantes (entre otras, SSTC 247/2004, de 20 de diciembre, FJ 2; 308/2005, de 12 de diciembre, FJ 3; 140/2006, de 8 de mayo, FJ 3; 156/2007, de 2 de julio, FJ 3; 121/2009, de 18 de mayo, FJ 2, y 142/2011,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demanda plantea una doble vulneración del derecho a la tutela judicial efectiva. Por un lado, la que se derivaría de la falta de diligencia del órgano judicial en la realización de las gestiones necesarias para asegurar la notificación personal de la demanda a la entidad recurrente, con la consiguiente indefensión material; y, por otro, la que se habría producido al no reparar la lesión invocada en el incidente de nulidad de actuaciones. Un examen lógico sistemático del planteamiento de la demanda exige abordar inicialmente la primera de las quejas formuladas ya que, de ser estimada, haría innecesario el análisis de la segunda vulneración invocada, al provocar una retroacción de las actuaciones a su momento procesal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Derecho a la tutela judicial efectiva: Falta de emplazamiento.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Aproximación a los hechos obrantes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queja debe partir necesariamente de una delimitación de aquellos elementos fácticos imprescindibles para verificar si se ha dado cumplimiento a la doctrina de este tribunal sobre la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 de la entidad Casa Severón, S.L., fijaba como domicilio de la parte demandada, Iveco, S.p.A., un inmueble sito en la ciudad de Turín (Italia). Sin embargo, en la misma demanda se indicaba como domicilio, “a efectos de notificación y emplazamiento” una dirección ubicada en Madrid, en la sede de una empresa considerada como filial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dos intentos de notificación de la demanda se llevaron a cabo en la dirección de Madrid, dando resultado negativo, al hacerse constar que la entidad demandada no tenía su domicilio en ese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Tras esos dos intentos frustrados, el órgano judicial procedió, sin más trámites, a la notificación edictal, que fue acordada por diligencia de ordenación de 3 de enero de 2020, continuando la tramitación del procedimiento al margen de la entidad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juzgado no realizó, ni de oficio, ni tampoco a instancia de la demandante, ninguna otra actuación para la ejecución de la notificación en el domicilio de la entidad demandada, que figuraba en la propia demanda, ni para indagar la existencia de algún otro domicilio en el que se pudiera realizar este primer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comenzar el enjuiciamiento de la vulneración del derecho a la tutela judicial efectiva dando respuesta previa a dos alegaciones, que han sido formuladas, respectivamente, por la representación de la entidad Casa Severon, S.L., comparecida en este proceso de amparo, y por la propia demandante de amparo; y lo haremos por este mismo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 entidad Casa Severon, S.L., expresa en sus alegaciones que nos encontramos ante el mismo supuesto que los contemplados en las SSTC 162/2002, de 16 de septiembre, y 208/2002, de 11 de noviembre, que se remite a la anterior. Sin embargo, en esos casos, el Tribunal consideró que existían indicios suficientes para entender que una de las sociedades demandadas tenía conocimiento de la existencia del procedimiento, por las “relaciones existentes” entre las dos entidades, ya que una de ellas tenía su domicilio en el complejo turístico del que era administradora, y que era, a su vez, propiedad de la otra entidad, lo que determinaba su “vinculación con [el] lugar” donde se realizó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lectura de las actuaciones no permite establecer una similitud entre los supuestos de hecho enjuiciados en las precedentes sentencias de este tribunal y el de autos, ya que, en el presente caso, el juzgado conocía que el emplazamiento que había pretendido realizar en el domicilio de la entidad Iveco España, S.L., había sido rechazado por la misma con el argumento de que dicha entidad no era filial de la demandada en el procedimiento, sino diferente y, en consecuencia, no había aceptado la notificación, no habiéndose llegado a realizar el acto de comunicación. Y lo mismo sucedió cuando, nuevamente, trató el órgano judicial de reproducir aquella notificación y de realizar el emplazamiento en el mismo domicilio de Madrid, con el mismo resultado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las notificaciones ni siquiera se realizaron porque la entidad demandada no tenía su sede en el inmueble de la ciudad de Madrid en que pretendieron realizarse. Por lo tanto, no puede deducirse que la recurrente en amparo hubiera tenido conocimiento extraprocesal del procedimiento seguido en su contra. Solo supo de aquel en el momento inmediatamente anterior a su primera comparecencia con la solicitud de nulidad de actuaciones. Por el mismo motivo, tampoco puede presumirse una maniobra deliberada de falta de colaboración como la que se insinúa en el auto ahora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atañe a la cita que la entidad demandante de amparo hace del Derecho de la Unión Europea para sustentar su queja, en referencia a que el juzgado habría incurrido en infracción del principio de primacía de este Derecho, tampoco resulta indispensable para el enjuiciamiento y resolución de la alegada vulneración del derecho a la tutela judicial efectiva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destacado en los antecedentes, la entidad Iveco, S.p.A., denuncia que, por tener su domicilio social en Italia, debería haberse aplicado lo dispuesto en el Reglamento (CE) 1393/2007, del Parlamento Europeo y del Consejo, de 13 de noviembre de 2007, relativo a la notificación y al traslado en los Estados miembros de documentos judiciales y extrajudiciales en materia civil o mercantil (“notificación y traslado de documentos”), actualmente integrado en un texto refundido aprobado por el Reglamento (UE) 2020/1784 del Parlamento Europeo y del Consejo de 25 de noviembre de 2020. A su juicio, la STJUE de 19 de diciembre de 2012, asunto Alder, solo excluye la aplicación de este instrumento cuando no consta el domicilio del litigante o cuando se ha designado a un representante en el Estado donde se tramita el procedimiento, circunstancias que no concurrirían en este caso. Esta doctrina fue posteriormente complementada por la STJUE de 11 de junio de 2015, asunto Stefan Fahnenbrock y otros, sobre la determinación del carácter civil o mercantil del asunto, y por la STJUE de 16 de septiembre de 2015, asunto Alpha Bank Cyprus Ltd, sobre la utilización de los formularios indicados en el propio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para la resolución del presente caso, no es necesario acudir a la normativa del Derecho de la Unión Europea citado por la entidad recurrente, porque el objeto de nuestro enjuiciamiento se localiza en la alegada vulneración del derecho a la tutela judicial efectiva y a la indefensión que le pueda causar a la demandante el denunciado desconocimiento de la existencia de un proceso seguido contra la misma, que le ha impedido poder alegar o proponer prueba en defensa de sus derechos e intereses legítimos. Además, el Reglamento de la Unión Europea citado no es más que el instrumento normativo que regula el procedimiento para llevar a cabo de manera uniforme las notificaciones judiciales entre los países integrantes de la Unión Europea, pero que no sustituye al marco normativo sustantivo previsto en el art. 155 LEC, que sirve de fundamento a la tutela judicial que se demanda. Es decir, lo relevante en este caso no es la forma en que debió llevarse a cabo la notificación del emplazamiento en el domicilio de la demandada, sino la validez de una notificación infructuosa realizada en el domicilio de una supuesta empresa filial, cuando constaba un domicilio de la demandada en el que no se intentó la notificación, y sin que se realizara gestión alguna para determinar un domicilio alternativo.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consideró que la diligencia de notificación se había ajustado a lo dispuesto en el art. 155.3 LEC, pues, a su entender, la entidad demandada desarrollaba su actividad profesional o laboral no ocasional en el mismo domicilio que la entidad que consideraba como su filial en España. Sin embargo, de las actuaciones no se desprende la existencia de tal vínculo, pues la entidad Iveco España, S.L., es una entidad con personalidad jurídica propia, participada casi al 100 por 100 por una tercera entidad que, a su vez, es propietaria de la entidad Iveco, S.p.A., casi en el mismo porcentaje. De esos datos no puede inferirse que Iveco, S.p.A., tuviera su domicilio o ejerciera su actividad en el domicilio social de Iveco España,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hay constancia de que estemos ante una “unidad económica” en el sentido expuesto en la STJUE de 6 de octubre de 2021, asunto C-882/19, Sumal S.L. c. Mercedes Benz Trucks España, S.L., citada en sus alegaciones por la entidad Casa Severón, S.L. En esa sentencia se responde a una concreta cuestión prejudicial sobre el art. 101.1 TFUE, consistente en determinar si la víctima de una práctica contraria a la competencia llevada a cabo por una empresa puede ejercitar una acción de resarcimiento por daños y perjuicios, haciéndolo indistintamente contra la sociedad matriz, sancionada por la Comisión Europea por haber realizado dicha práctica, o contra una filial de esa sociedad que no sea destinataria de la referida decisión. Para ello, sería necesario acreditar que se trata de una “organización unitaria de elementos personales, materiales e inmateriales que persigue de manera duradera un fin económico determinado” (apartado 41), de tal forma que la sociedad filial “no determine de manera autónoma […] su comportamiento en el mercado, sino que aplique, esencialmente, las instrucciones que le imparte la sociedad matriz, teniendo en cuenta concretamente los vínculos económicos, organizativos y jurídicos que unen a esas dos entidades jurídicas” (apartado 43). Nada de lo dicho ha quedado acreditado en este caso. Además, el Tribunal de Justicia de la Unión Europea admite una cierta autonomía de la entidad filial, al reconocer que esta debe poder hacer valer de manera efectiva su derecho de defensa con el fin de demostrar que no pertenece a dicha empresa [matriz] e, incluso, cuando la Comisión no haya adoptado ninguna decisión en virtud del artículo 101 TFUE, puede rebatir igualmente la realidad misma del comportamiento infractor alegado (conclusión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observar, la STJUE no se refiere a un problema de notificaciones, sino a una cuestión relacionada con la atribución de responsabilidades entre sociedades matriz y filial, lo que afecta a la legitimación pasiva ante una eventual reclamación por daños y perjuicios derivada de una infracción sobre competencia previamente declarada por la Comisión Europea. Por lo tanto, no estamos ante un supuesto similar al que se plantea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constata que, en realidad, el elemento relevante para la resolución de esta queja no se encuentra en la relación entre las entidades, sino en la presunción del traslado de notificaciones entre ellas y, por lo tanto, en el eventual conocimiento extraprocesal de la existencia del procedimiento. Es decir, una notificación realizada en la sede de una sociedad mercantil filial, pero dirigida a la entidad matriz, será válida en la medida en que, partiendo de la existencia de esa relación entre ellas, pueda deducirse que esta última tuvo o pudo tener conocimiento de la notificación, lo que debe ser verificado por el órgano judicial correspondiente, en función de las circunstancias concurrentes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no se ha acreditado la existencia de una relación de matriz-filial, ni siquiera de una representación, delegación, agencia o sucursal, sino de un grupo de empresas que, en principio, mantienen su propia actividad. En estas condiciones, no resulta razonablemente previsible que la notificación realizada en la sede de una entidad haya de ser necesariamente conocida por la otra, aunque guarde con ella una cierta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destaca con acierto el Ministerio Fiscal, los criterios establecidos en el art. 155.3 LEC para la determinación del domicilio del demandado son complementarios o alternativos. Es decir, la Ley de enjuiciamiento civil ha previsto como regla general que los actos de comunicación han de realizarse en el “domicilio de los litigantes” (art. 155.1 LEC). Ahora bien, para facilitar el primer emplazamiento, el demandante debe indicar todos aquellos posibles domicilios de la parte demandada de los que tenga conocimiento (art. 155.2 LEC), ofreciendo diversas alternativas válidas a tal efecto (art. 155.3 LEC). Eso implica que cualquier notificación realizada de manera efectiva en alguno de esos lugares ha de presumirse como válida; pero no supone que, intentada de modo infructuoso la notificación en cualquiera de ellos, tenga que darse por válido ese emplazamiento, sobre todo cuando, en un caso como este, existe un domicilio conocido en el que nunca se intentó notificación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proceso judicial, la demanda había señalado como domicilio social de la parte demandada el de la avenida de Aragón en Madrid, que es en el que fue emplazada en dos ocasiones con resultado infructuoso, por lo que el juzgado decidió acudir a la notificación por edictos sin más trámite y sin practicar ninguna diligencia de comprobación al respecto. Sin embargo, la demanda había fijado, también, como domicilio social de la entidad demandada, el de la vía Puglia, en la ciudad de Turín (Italia), sin que hubiera llegado a realizar acto de comunicación alguno a esa dirección.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exige que el órgano judicial adopte una posición de verdadero garante de los derechos de las partes, asegurándose de la efectividad de los actos de comunicación. Sin embargo, en este supuesto, el órgano judicial ha presumido el ejercicio de una actividad conjunta que no ha sido acreditada y, como consecuencia de ello, ha dado por válida una notificación sin verificar su realidad o efectividad. No ha llevado a cabo aquellos actos de comunicación que se encontraban razonablemente a su alcance. Con ello, se ha causado una situación de indefensión material no atribuible a la entidad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pretensión de amparo, sustentada en la alegada vulneración del derecho a la tutela judicial efectiva, debe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Alcance de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conlleva la nulidad del auto de 25 de enero de 2021 dictado por el Juzgado de lo Mercantil núm. 3 de Gijón, que desestimó el incidente de nulidad de actuaciones promovido por la recurrente en el procedimiento ordinario núm. 290-2019. Asimismo, como medida de restablecimiento del derecho, hemos de acordar, tal como así lo solicita la recurrente, la retroacción de las actuaciones hasta el momento inmediatamente posterior a la admisión a trámite de la demanda, a fin de que se provea por el órgano judicial a la notificación y emplazamiento de aquella, en términos que resulten respetuosos con su derecho fundamental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extensión del alcance del amparo que se otorga releva, por otra parte, a este tribunal del examen de la segunda de las vulneraciones del derecho a la tutela judicial efectiva invocada en la demanda, toda vez que el alcance de la estimación de la anterior se extiende también a la reparación de la lesión causada por el auto de 25 de enero de 2021, resolutorio del incidente de nulidad de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Iveco, S.p.A.,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25 de enero de 2021 dictado por el Juzgado de lo Mercantil núm. 3 de Gijón, que desestimó el incidente de nulidad de actuaciones promovido por la recurrente en el procedimiento ordinario núm. 290-2019, así como la nulidad de las actuaciones realizadas a partir del decreto de 24 de julio de 2019 por el que se acordó la admisión a trámite de la demanda y su notificación y emplazamiento a la parte demandada.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posterior al decreto de 24 de julio de 2019, debiendo llevarse a cabo la notificación de la demanda y el emplazamiento de la parte demandada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