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7582-2019, promovido por Penrei Inversiones, S.L., representada por la procuradora de los tribunales doña Blanca Berriatua Horta y bajo la dirección de la letrada doña Anju Nirmala Benavent Rodríguez, contra el auto de 20 de noviembre de 2018 del Juzgado de Primera Instancia e Instrucción núm. 4 de Lorca, dictado en el procedimiento de ejecución hipotecaria 361-2018, y contra el auto de 11 de noviembre de 2019, del mismo órgano judicial, por el que se desestimó el recurso de reposición interpuesto contra el anterior. Ha comparecido la entidad Pera Assets Designated Activity Company, representada por la procuradora de los tribunales doña María Claudia Munteanu y bajo la dirección letrada de don Alejandro Ingram Solís.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diciembre de 2019 la entidad mercantil Penrei Inversiones, S.L., representada por la procuradora de los tribunales doña Blanca Berriatua Horta y bajo la dirección de la letrada doña Anju Nirmala Benavent Rodríguez, interpuso recurso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el procedimiento de ejecución hipotecaria núm. 361-2018, promovido por la entidad Banco de Sabadell, S.A., frente a la sociedad Euroinversiones Inmobiliarias Costa Sur, S.L. como deudora hipotecaria, y la sociedad Penrei Inversiones, S.L., como titular de un derecho de uso y disfrute sobre 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25 de junio de 2018, el servicio de notificaciones electrónicas de la Fábrica Nacional de Moneda y Timbre remite a la demandante de amparo, a través de la dirección electrónica habilitada, un aviso de notificación. Informa de que la notificación estará disponible desde el 27 de junio hasta el 12 de agosto. El 3 de agosto la recurrente de amparo accede efectivamente a la página web y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30 de agosto de 2018, la sociedad demandada formula oposición a la ejecución despachada. Por auto de 20 de noviembre del mismo año fue inadmitida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ejecutada interpone recurso de reposición. Alega que las diligencias de notificación y requerimiento se realizaron el 3 de agosto de 2018. La comunicación remitida a través de la dirección electrónica habilitada no sería más que un aviso de puesta a disposición o descarga de su contenido durante un plazo determinado. Entenderlo de otro modo vulneraría el art. 24 CE, además de los arts. 135, 152, 162 y 273 y siguientes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11 de noviembre de 2019. El órgano judicial reafirma que la notificación se practicó el 27 de junio de 2018, fecha en la que se materializó correctamente su puesta a disposición en aplicación estricta del art. 162 LEC. A efectos de computar el plazo para formular oposición a la ejecución hipotecaria no puede tomarse en consideración la fecha en que el acceso se realizó efectivamente; de lo contrario se estaría dejando al arbitrio de las partes obligadas a utilizar el sistema electrónico de notificaciones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la vulneración del derecho fundamental de la sociedad recurrente a la tutela judicial efectiva sin indefensión (art. 24.1 CE). La interpretación de la legislación procesal habría privado injustamente a la recurrente de su derecho a formular oposición a la ejecución hipotecaria. Se efectuó su emplazamiento como ejecutada a través de un correo electrónico remitido por un servicio de notificaciones electrónicas y no mediante entrega de la documentación correspondiente en papel en la sede de su domicilio social a pesar de que se trataba del primer emplazamiento en la causa. Y, en todo caso, siguió las indicaciones que le facilitó la comunicación electrónica, de manera que accedió al contenido de la notificación dentro del intervalo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si bien está obligada a relacionarse con la administración de justicia a través de medios electrónicos por ser una persona jurídica (art. 273 LEC), cuando se trata del primer emplazamiento y, por tanto, todavía se no ha tenido ninguna relación con el juzgado correspondiente en el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 El órgano judicial habría incumplido su obligación de asegurar, no ya la legalidad formal de los actos de comunicación, sino el cumplimiento efectivo de su finalidad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noviembre de 2020, la Sección Cuarta de este tribunal acordó (i) admitir a trámite el recurso de amparo, apreciando que concurre en el mismo una especial trascendencia constitucional [art. 50.1 de la Ley Orgánica del Tribunal Constitucional (LOTC)], porque el recurso plantea un problema [STC 155/2009, FJ 2 a)] o afecta a una faceta de un derecho fundamental sobre el que no hay doctrina de este tribunal y puede darle ocasión para aclarar o cambiar su doctrina, como consecuencia de cambios normativos relevantes para la configuración del contenido del derecho fundamental [STC 155/2009, FJ 2 b)]; (ii) habiéndose interesado anteriormente en el recurso de amparo núm. 7578-2019 la remisión de copia testimoniada de las actuaciones del procedimiento de ejecución hipotecaria núm. 361-2018 y en aplicación del art. 51 LOTC, dirigir atenta comunicación al juzgado a quo a fin de que, en plazo que no exceda de diez días, proceda a emplazar a quienes hubieran sido parte en él, excepto a la parte recurrente en amparo, para poder comparecer en el presente proceso constitucional,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Tramitado el incidente sobre la suspensión, la Sala Segunda de este Tribunal, mediante ATC 156/2020, de 30 de noviembre, denegó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9 de septiembre de 2021, la entidad Pera Assets Designated Activity Company, representada por la procuradora de los tribunales doña María Claudia Munteanu y bajo la dirección técnica del letrado don Alejandro Ingram Solís,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4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5 de julio de 2022, el secretario de justicia de la Sala Segunda tuvo por personada y parte a la procuradora doña María Claudia Munteanu en la representación acreditada tras confirmarse por el Juzgado de Primera Instancia e Instrucción núm. 4 de Lorca la firmeza del auto de 9 de mayo de 2022 que acepta la sucesión procesal y la subrogación de la mercantil Pera Assets Designated Activity Company como ejecutante en la posición procesal del Banco de Sabadell, S.A. Conforme al art. 52 LOTC, acordó dar un plazo de veinte días al Ministerio Fiscal y a las partes para la vista del expediente y la formulación de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septiembre de 2022 tuvo entrada en el registro de este tribunal escrito de la recurrente en amparo, que ratifica las alegaciones expuestas en la demanda y trascribe en parte los fundamentos jurídicos de la STC 40/2020, de 27 de febrero, que, a su parecer, respalda los argumentos que presenta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15 de septiembre de 2022, en el que interesa el otorgamiento del amparo, el reconocimiento de la vulneración del derecho de la recurrente a la tutela judicial efectiva sin indefensión y la nulidad de todo lo actuado a partir del emplazamiento a través de la dirección electrónica habilitada,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que juzga relevantes, el fiscal considera que nos encontramos ante uno de los recursos que componen la serie de los interpuestos por Euroinversiones Costa Sur, S.L., y Penrei Inversiones, S.L., frente a diversos autos dictados en procedimientos hipotecarios tramitados por diferentes juzgados de primera instancia de Lorca, por idénticas vulneraciones, algunos de ellos ya resueltos por este tribunal. En concreto en las SSTC 40/2020, de 27 de febrero, que resuelve el recurso de amparo cabecera; 43/2020, de 9 de marzo, y 103/2021, de 10 de mayo. Dado que concurre identidad fáctica y jurídica con los supuestos entonces examinados, concluye que procede aplicar la doctrina sentada en dichas resoluciones, que, de acuerdo con la STC 47/2019, de 8 de abril, exige un emplazamiento personal cuando se trata de la primera citación Su ausencia en el caso, donde se recurrió a una notificación electrónica no prevista en la norma procesal y con un cómputo del plazo alegal, determina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ejecutante comparecida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octubre de 2022,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los autos de 20 de noviembre de 2018 y de 11 de septiembre de 2019 dictados por el Juzgado de Primera Instancia núm. 4 de Lorca en el proceso de ejecución hipotecaria núm. 361-2018.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entidad mercantil demandante de amparo, una interpretación irrazonable de la legislación procesal le habría privado injustamente de su derecho a formular oposición a la ejecución hipotecaria. El requerimiento de pago y alternativo derecho a oponerse a la demanda ejecutiva debió realizarse de manera personal en su domicilio social con entrega en papel de la documentación, al tratarse de un primer emplazamiento. Al dar por buena su notificación mediante el servicio de dirección electrónica habilitada de la Fábrica Nacional de Moneda y Timbre e inadmitir por extemporánea la oposición a la ejecución,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20 de noviembre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ha estimado un recurso de amparo basado en los mismos motivos y dirigido contra autos de contenido muy similar de otro juzgado de primera instancia e instrucción de Lorca. En ella advertimos que resulta de aplicación la doctrina de este tribunal plasmada en sus SSTC 6/2019, de 17 de enero, FJ 4 a), y 47/2019, de 8 de abril, FJ 4 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la misma STC 40/2020, FJ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dar por reproducidos los fundamentos jurídicos de esa sentencia y, en consecuencia, declarar que los autos de 20 de noviembre de 2018 y 11 de septiembre de 2019 del Juzgado de Primera Instancia e Instrucción núm. 4 de Lorca han vulnerado el derecho a la tutela judicial efectiva de la recurrente en amparo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aquel caso y en los otros muchos en que hemos alcanzado análoga conclusión respecto de resoluciones del mismo tenor,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 con retroacción de las actuaciones para que el órgano judicial practique dicho emplazamiento en los términos exigidos por la ley (arts. 155.1 y 273.4 LEC) de manera respetuosa con el derecho fundamental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20 de noviembre de 2018 y de 11 de noviembre de 2019 dictados por el Juzgado de Primera Instancia e Instrucción núm. 4 de Lorca en el proceso de ejecución hipotecaria núm. 361-2018, así como de las actuaciones realizadas a partir del emplazamiento de la sociedad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proceso de ejecución hipotecaria núm. 361-2018 al momento inmediatamente anterior al emplazamiento de la recurrente, a fin de que este se lleve a cabo de nuevo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