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121</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10 de octubre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7582-2019, promovido por Penrei Inversiones, S.L., representada por la procuradora de los tribunales doña Blanca Berriatua Horta y bajo la dirección de la letrada doña Anju Nirmala Benavent Rodríguez, contra el auto de 20 de noviembre de 2018 del Juzgado de Primera Instancia e Instrucción núm. 4 de Lorca, dictado en el procedimiento de ejecución hipotecaria 361-2018, y contra el auto de 11 de noviembre de 2019, del mismo órgano judicial, por el que se desestimó el recurso de reposición interpuesto contra el anterior. Ha comparecido la entidad Pera Assets Designated Activity Company, representada por la procuradora de los tribunales doña María Claudia Munteanu y bajo la dirección letrada de don Alejandro Ingram Solís. Ha intervenido el Ministerio Fiscal.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30 de diciembre de 2019 la entidad mercantil Penrei Inversiones, S.L., representada por la procuradora de los tribunales doña Blanca Berriatua Horta y bajo la dirección de la letrada doña Anju Nirmala Benavent Rodríguez, interpuso recurso contra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Juzgado de Primera Instancia e Instrucción núm. 4 de Lorca se sigue el procedimiento de ejecución hipotecaria núm. 361-2018, promovido por la entidad Banco de Sabadell, S.A., frente a la sociedad Euroinversiones Inmobiliarias Costa Sur, S.L. como deudora hipotecaria, y la sociedad Penrei Inversiones, S.L., como titular de un derecho de uso y disfrute sobre el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Despachada ejecución por auto de 25 de junio de 2018, el servicio de notificaciones electrónicas de la Fábrica Nacional de Moneda y Timbre remite a la demandante de amparo, a través de la dirección electrónica habilitada, un aviso de notificación. Informa de que la notificación estará disponible desde el 27 de junio hasta el 12 de agosto. El 3 de agosto la recurrente de amparo accede efectivamente a la página web y a la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30 de agosto de 2018, la sociedad demandada formula oposición a la ejecución despachada. Por auto de 20 de noviembre del mismo año fue inadmitida por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sociedad ejecutada interpone recurso de reposición. Alega que las diligencias de notificación y requerimiento se realizaron el 3 de agosto de 2018. La comunicación remitida a través de la dirección electrónica habilitada no sería más que un aviso de puesta a disposición o descarga de su contenido durante un plazo determinado. Entenderlo de otro modo vulneraría el art. 24 CE, además de los arts. 135, 152, 162 y 273 y siguientes de la Ley de enjuiciamiento civil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fue desestimado por auto de 11 de noviembre de 2019. El órgano judicial reafirma que la notificación se practicó el 27 de junio de 2018, fecha en la que se materializó correctamente su puesta a disposición en aplicación estricta del art. 162 LEC. A efectos de computar el plazo para formular oposición a la ejecución hipotecaria no puede tomarse en consideración la fecha en que el acceso se realizó efectivamente; de lo contrario se estaría dejando al arbitrio de las partes obligadas a utilizar el sistema electrónico de notificaciones el cumplimiento de los plazos procesales dispuesto en la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atribuye a los autos impugnados la vulneración del derecho fundamental de la sociedad recurrente a la tutela judicial efectiva sin indefensión (art. 24.1 CE). La interpretación de la legislación procesal habría privado injustamente a la recurrente de su derecho a formular oposición a la ejecución hipotecaria. Se efectuó su emplazamiento como ejecutada a través de un correo electrónico remitido por un servicio de notificaciones electrónicas y no mediante entrega de la documentación correspondiente en papel en la sede de su domicilio social a pesar de que se trataba del primer emplazamiento en la causa. Y, en todo caso, siguió las indicaciones que le facilitó la comunicación electrónica, de manera que accedió al contenido de la notificación dentro del intervalo fijado; fecha que, sin embargo, el órgano judicial ha considerado fuera de plazo, por lo que acordó la inadmisión del escrito de oposición presentado dentro de los diez días que prevé el art. 556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insiste en que, si bien está obligada a relacionarse con la administración de justicia a través de medios electrónicos por ser una persona jurídica (art. 273 LEC), cuando se trata del primer emplazamiento y, por tanto, todavía se no ha tenido ninguna relación con el juzgado correspondiente en el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establece que “cuando las partes no actúen representadas por procurador o se trate del primer emplazamiento o citación al demandado, los actos de comunicación se harán por remisión al domicilio de los litigantes”. El órgano judicial habría incumplido su obligación de asegurar, no ya la legalidad formal de los actos de comunicación, sino el cumplimiento efectivo de su finalidad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solicita por otrosí la suspensión del proceso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4 de noviembre de 2020, la Sección Cuarta de este tribunal acordó (i) admitir a trámite el recurso de amparo, apreciando que concurre en el mismo una especial trascendencia constitucional [art. 50.1 de la Ley Orgánica del Tribunal Constitucional (LOTC)], porque el recurso plantea un problema [STC 155/2009, FJ 2 a)] o afecta a una faceta de un derecho fundamental sobre el que no hay doctrina de este tribunal y puede darle ocasión para aclarar o cambiar su doctrina, como consecuencia de cambios normativos relevantes para la configuración del contenido del derecho fundamental [STC 155/2009, FJ 2 b)]; (ii) habiéndose interesado anteriormente en el recurso de amparo núm. 7578-2019 la remisión de copia testimoniada de las actuaciones del procedimiento de ejecución hipotecaria núm. 361-2018 y en aplicación del art. 51 LOTC, dirigir atenta comunicación al juzgado a quo a fin de que, en plazo que no exceda de diez días, proceda a emplazar a quienes hubieran sido parte en él, excepto a la parte recurrente en amparo, para poder comparecer en el presente proceso constitucional, y (iii)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Tramitado el incidente sobre la suspensión, la Sala Segunda de este Tribunal, mediante ATC 156/2020, de 30 de noviembre, denegó la suspensión cautelar solicitada y ordena la anotación preventiva de la demanda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9 de septiembre de 2021, la entidad Pera Assets Designated Activity Company, representada por la procuradora de los tribunales doña María Claudia Munteanu y bajo la dirección técnica del letrado don Alejandro Ingram Solís,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4 de Lorca para comparecer ante este tribunal, por lo que solicitó que se le tuviera por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 ordenación 5 de julio de 2022, el secretario de justicia de la Sala Segunda tuvo por personada y parte a la procuradora doña María Claudia Munteanu en la representación acreditada tras confirmarse por el Juzgado de Primera Instancia e Instrucción núm. 4 de Lorca la firmeza del auto de 9 de mayo de 2022 que acepta la sucesión procesal y la subrogación de la mercantil Pera Assets Designated Activity Company como ejecutante en la posición procesal del Banco de Sabadell, S.A. Conforme al art. 52 LOTC, acordó dar un plazo de veinte días al Ministerio Fiscal y a las partes para la vista del expediente y la formulación de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5 de septiembre de 2022 tuvo entrada en el registro de este tribunal escrito de la recurrente en amparo, que ratifica las alegaciones expuestas en la demanda y trascribe en parte los fundamentos jurídicos de la STC 40/2020, de 27 de febrero, que, a su parecer, respalda los argumentos que presenta en este recurso en torno a la necesidad de que el primer emplazamiento o citación al demandado se efectúe en su domicilio, como impone el artículo 155.1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15 de septiembre de 2022, en el que interesa el otorgamiento del amparo, el reconocimiento de la vulneración del derecho de la recurrente a la tutela judicial efectiva sin indefensión y la nulidad de todo lo actuado a partir del emplazamiento a través de la dirección electrónica habilitada, con retroacción de las actuaciones al momento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que juzga relevantes, el fiscal considera que nos encontramos ante uno de los recursos que componen la serie de los interpuestos por Euroinversiones Costa Sur, S.L., y Penrei Inversiones, S.L., frente a diversos autos dictados en procedimientos hipotecarios tramitados por diferentes juzgados de primera instancia de Lorca, por idénticas vulneraciones, algunos de ellos ya resueltos por este tribunal. En concreto en las SSTC 40/2020, de 27 de febrero, que resuelve el recurso de amparo cabecera; 43/2020, de 9 de marzo, y 103/2021, de 10 de mayo. Dado que concurre identidad fáctica y jurídica con los supuestos entonces examinados, concluye que procede aplicar la doctrina sentada en dichas resoluciones, que, de acuerdo con la STC 47/2019, de 8 de abril, exige un emplazamiento personal cuando se trata de la primera citación Su ausencia en el caso, donde se recurrió a una notificación electrónica no prevista en la norma procesal y con un cómputo del plazo alegal, determina la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parte ejecutante comparecida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6 de octubre de 2022,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por objeto la impugnación de los autos de 20 de noviembre de 2018 y de 11 de septiembre de 2019 dictados por el Juzgado de Primera Instancia núm. 4 de Lorca en el proceso de ejecución hipotecaria núm. 361-2018.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entidad mercantil demandante de amparo, una interpretación irrazonable de la legislación procesal le habría privado injustamente de su derecho a formular oposición a la ejecución hipotecaria. El requerimiento de pago y alternativo derecho a oponerse a la demanda ejecutiva debió realizarse de manera personal en su domicilio social con entrega en papel de la documentación, al tratarse de un primer emplazamiento. Al dar por buena su notificación mediante el servicio de dirección electrónica habilitada de la Fábrica Nacional de Moneda y Timbre e inadmitir por extemporánea la oposición a la ejecución,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20 de noviembre de 2018, a fin de que el juzgado admita a trámite su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estimación de la demanda de amparo y la nulidad de todo lo actuado desde la notificación electrónica del auto de despacho de la ejecución, con retroacción de las actuaciones al momento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40/2020, de 27 de febrero, ha estimado un recurso de amparo basado en los mismos motivos y dirigido contra autos de contenido muy similar de otro juzgado de primera instancia e instrucción de Lorca. En ella advertimos que resulta de aplicación la doctrina de este tribunal plasmada en sus SSTC 6/2019, de 17 de enero, FJ 4 a), y 47/2019, de 8 de abril, FJ 4 a),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la misma STC 40/2020, FJ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dar por reproducidos los fundamentos jurídicos de esa sentencia y, en consecuencia, declarar que los autos de 20 de noviembre de 2018 y 11 de septiembre de 2019 del Juzgado de Primera Instancia e Instrucción núm. 4 de Lorca han vulnerado el derecho a la tutela judicial efectiva de la recurrente en amparo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en aquel caso y en los otros muchos en que hemos alcanzado análoga conclusión respecto de resoluciones del mismo tenor, la estimación del amparo trae consigo la nulidad de los autos recurridos, así como de todo lo actuado en el procedimiento hipotecario a quo desde el momento en que se proveyó al emplazamiento de la entidad mercantil solicitante de amparo a través de la dirección electrónica habilitada, con retroacción de las actuaciones para que el órgano judicial practique dicho emplazamiento en los términos exigidos por la ley (arts. 155.1 y 273.4 LEC) de manera respetuosa con el derecho fundamental de la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Penrei Inversiones,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los autos de 20 de noviembre de 2018 y de 11 de noviembre de 2019 dictados por el Juzgado de Primera Instancia e Instrucción núm. 4 de Lorca en el proceso de ejecución hipotecaria núm. 361-2018, así como de las actuaciones realizadas a partir del emplazamiento de la sociedad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del proceso de ejecución hipotecaria núm. 361-2018 al momento inmediatamente anterior al emplazamiento de la recurrente, a fin de que este se lleve a cabo de nuevo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octubre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