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24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6609-2021, promovido por don Ivan Kovacevic, en relación con el auto dictado el 12 de abril de 2021 por el Juzgado de Instrucción núm. 2 de Coín en las diligencias previas núm. 323-2021 y los autos de la Sección Primera de la Audiencia Provincial de Málaga de 10 de mayo y 19 de julio de 2021, en el recurso de apelación núm. 442-2021,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octubre de 2021, la procuradora de los tribunales doña Andrea de Dorremochea Guiot, en nombre y representación de don Ivan Kovacevic, y bajo la dirección letrada de don Manuel Montaño Monge, interpuso recurso de amparo contra el auto dictado por el Juzgado de Instrucción núm. 2 de Coín el 12 de abril de 2021 en las diligencias previas núm. 323-2021, por el que se acordaba la prisión provisional comunicada y sin fianza del recurrente, contra el auto de la Sección Primera de la Audiencia Provincial de Málaga de 10 de mayo de 2021, por el que se desestimaba el recurso de apelación interpuesto contra la resolución del Juzgado de Instrucción, y contra el auto de la misma sección de la Audiencia Provincial de Málaga de 19 de julio de 2021, por el que se inadmitió a trámite el incidente de nulidad de actuaciones promovido contra la resolución de 10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invoca la lesión del derecho a la libertad (art. 17 CE), en relación con el derecho a la tutela judicial efectiva sin indefensión (art. 24.1 CE), por falta de fundamentación de los autos recurridos, infracción del derecho de todo detenido a acceder a las actuaciones esenciales para impugnar la detención y la privación de libertad, y vulneración del derecho a ser asistido por un intérprete. Se solicita por ello la declaración de nulidad de los autos impugnados y que se decrete la inmediata libertad provisional del recurrente o, subsidiariamente, que se adopten otras medidas cautelares menos gravosas que la prisión preventiva.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solicita por otrosí que, conforme a lo previsto en el art. 56 de la Ley Orgánica del Tribunal Constitucional (LOTC), se suspenda la ejecución de la medida cautelar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del Tribunal Constitucional acordó, mediante providencia de 12 de septiembre de 2022, la admisión a trámite del recurso por apreciar la concurrencia en el mismo de una especial trascendencia constitucional habida cuenta de que “el órgano judicial podría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Sala Primera acordó formar la oportuna pieza de suspensión, en los términos del art. 56 LOTC, concediendo un plazo común de tres días al recurrente y al Ministerio Fiscal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presentó sus alegaciones mediante escrito registrado en este tribunal el 16 de septiembre de 2022. En este escrito se pone en conocimiento del Tribunal que el recurrente quedó en libertad provisional bajo fianza el pasado 4 de noviembre de 2021, tras haber hecho efectiva la fianza de 20 000 € fijada como condición para eludir la prisión preventiva, por auto dictado en la misma fecha por la Sección Primera de la Audiencia Provincial de Málaga, que conoce actualmente de la causa (procedimiento abreviado 36-2022). Sin perjuicio de lo anterior, el recurrente manifiesta que mantiene su pretensión de que se le otorgue el amparo solicitado, por lo que solicita que se dicte sentencia reconociendo la vulneración de su derecho a la libertad (art. 17 CE), en relación con el derecho a la tutela judicial efectiva sin indefensión (art. 24.1 CE), y declarando la nulidad de los autos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mediante escrito presentado el 30 de septiembre de 2022, en el que, tras sintetizar la doctrina de este tribunal en desarrollo del artículo 56 LOTC, más concretamente en relación con la suspensión cautelar de resoluciones judiciales relativas a la medida cautelar de prisión provisional o su prórroga, solicitó el archivo de la pieza de suspensión toda vez que consta en las actuaciones que el recurrente en amparo se encuentra en libertad provisional desde el 4 de noviembre de 2021, con lo que la petición de suspensión cautelar ha perdido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Pérdida de objeto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en los antecedentes, el recurrente en amparo solicitó mediante otrosí en su escrito de demanda la suspensión de la ejecución de la medida cautelar de prisión provisional, impuesta y confirmada por los autos recurridos en amparo, a fin de obtener así la libertad provisional mientras se sustancia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abierta la pieza separada de suspensión, la representación procesal del propio recurrente ha presentado escrito de alegaciones en el que, entre otros extremos, manifiesta que, con posterioridad a la presentación de la demanda de amparo, en concreto a través de auto de 4 de noviembre de 2021, la Sección Primera de la Audiencia Provincial de Málaga sustituyó la medida de prisión provisional sin fianza acordada inicialmente por una medida de prisión provisional eludible mediante prestación de una fianza de 20 000 €, y procedió, en la misma fecha, a ponerle efectivamente en libertad, tras declarar bastante la fianza prestada al efecto por el recurrente. Estas aseveraciones han quedado avaladas mediante la incorporación a los autos de la resolución de 4 de noviembre de 2021 de la Audiencia Provincial de Málaga, por la que se sustituye la medida de prisión provisional sin fianza por otra de prisión provisional eludible bajo fianza de 20 000 €, y el informe emitido por el Juzgado de Instrucción núm. 2 de Coín el 12 de septiembre de 2022, a petición de este Tribunal Constitucional, en que se deja constancia de que el mismo día 4 de noviembre de 2021 el recurrente en amparo fue efectivamente puesto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lo manifestado por el propio recurrente y la documentación obrante en el expediente, procede acordar el archivo del presente incidente de suspensión por carencia sobrevenida de objeto, como lo ha hecho este tribunal en supuestos semejantes (por todos, ATC 37/2019, de 20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incidente de suspensión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