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141-2021, promovido por Topanga de Comunicaciones, S.L., en relación con la desestimación presunta, por parte de la Consejería de Empleo, Industria y Turismo del Gobierno del Principado de Asturias, de la solicitud de 10 de marzo de 2018, de convocatoria de concurso público para el otorgamiento de licencias para el servicio de comunicación audiovisual de radiodifusión sonora digital terrenal, integradas en los bloques de frecuencias asignados a esa comunidad autónoma,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enero de 2021, el procurador don José Carlos García Rodríguez, en nombre y representación de Topanga de Comunicaciones, S.L., y asistido por el letrado don Jaime Rodríguez Díez, interpuso recurso de amparo contra la desestimación presunta mencionada en el encabezamiento y las resoluciones judiciales confirmatorias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recurrente formuló ante la Consejería de Empleo, Industria y Turismo del Gobierno del Principado de Asturias, en fecha 10 de marzo de 2018, solicitud de convocatoria de concurso público, correspondiente a las licencias de servicios audiovisuales de radiodifusión sonora digital terrestre integradas en los bloques de frecuencias asignados a esa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desestimación por silencio negativo, la entidad demandante interpuso recurso contencioso-administrativo, que fue registrado con el núm. 444-2018 de la Sala de lo Contencioso-Administrativo del Tribunal Superior de Justicia de Asturias. Por sentencia núm. 272/2019, de 8 de abril, se desestimó el recurso el referido recurso con imposición de costas a la recurrente, hasta el límite de 600 €.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Disconforme con lo resuelto, Topanga de Comunicaciones, S.L., formalizó recurso de casación. Tras la sustanciación oportuna, el recurso fue admitido a trámite por auto de 22 de mayo de 2020 (recurso de casación núm. 3922-2019) y desestimado por sentencia núm. 1593/2020, de 25 de noviembre, de la Sección Tercera de la Sala de lo Contencioso-Administrativo del Tribunal Supremo. En virtud de lo establecido en el artículo 93.4 de la Ley reguladora de la jurisdicción contencioso-administrativa (LJCA), se resolvió que “cada parte abonará sus costas y las comunes por mitad, quedando las de instancia en los términos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 carácter principal la entidad recurrente interesó, al amparo de lo dispuesto en el art. 56 de la Ley Orgánica del Tribunal Constitucional (LOTC), “la suspensión de la vigencia del acto administrativo (desestimación presunta)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el 6 de marzo de 2017,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lo cual la aboca a su cierre y desaparición definitiva, salvo que la demandante se exponga a la recurrente a la acción de la potestad sancionadora, en el caso de prestar la actividad careciendo de título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[sus] derechos […] como empresa que, aunque vea estimado su recurso, habrá perdido para siempre el derecho de emitir”.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1593/2020.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afirma que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no atender la petición principal, la demandante solicita la suspensión de la condena en costas de la primera instancia, pues debido a la situación de inactividad a que se ve abocada, el pago de aquellas resulta inasumible.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2022, la Sección Primera del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octubre de 2022 presentó sus alegaciones la entidad recurrente de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el fiscal destaca la falta de justificación de la irreparabilidad de los perjuicios que acarrearía no suspender el pago de las costas, visto que dicha condena se limita la cuantía a 600 €.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16 de noviembre de 2021 se tuvo por personada a la letrada del Servicio Jurídico del Principado de Asturias, a quien se confirió traslado por tres días a fin de presentar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29 de noviembre de 2022 presentó sus alegaciones la letrada del Servicio Jurídico del Principado de Asturias, en las que interesó la desestimación de la medida cautelar. Tras sintetizar la doctrina constitucional relativa a la suspensión cautelar regulada en el art. 56 LOTC, en relación con el presente caso señala que no concurre el supuesto de hecho contemplado en el art. 56.1 LOTC, puesto que la no adopción de esa medida no afecta a la finalidad perseguida con la interposición del recurso. Y ello, porque los perjuicios que se detallan serían reparados, en su caso, mediante la decisión de fondo; si bien estos no están directamente relacionados con la convocatoria de concurso, sino con la obtención de licencias de comunicación audiovisual “que no es algo que pueda predicarse sin más de la convocatoria, en tanto que se trata de un procedimiento de concurrencia competitiva, en el que la solicitud de la recurrente habrá de ser examinada y valorada con la de otros posibles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señala que lo realmente pedido no es la suspensión de un acto sino la medida positiva de convocar el concurso público solicitado por la demandante, lo que implica transformar la medida cautelar en una estimación anticipada del recurso de amparo planteado, algo vedado en un incidente de esta naturaleza, pues en estos casos la suspensión del acto impugnado viene a confundirse con el objeto del amparo (ATC 144/1990, de 29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a continuación que la pretensión de la demandante no goza de apariencia de buen derecho, pues en dos ocasiones ha visto desestimadas sus pretensiones en vía judicial. También se opone a la pretensión subsidiaria de suspensión de la condena en costas, al considerar que, dada su moderada cuantía (600 €) no puede originar perjuicios irreparables a la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consiste en determinar si procede acordar la suspensión de las resoluciones combatidas en el presente recurso, por las razones que han sido sintetizadas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suspensión cautelar del pago de las costas este tribunal ha sostenido que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de condenas pecuniarias cabe situar específicamente la imposición al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el contenido de la pretensión cautelar esgrimida por la entidad recurrente debe entenderse que, en su literalidad, lo que se demanda de este tribunal es que acuerde la suspensión de un acto denegatorio presunto; concretamente, la desestimación, por silencio negativo, de la petición de convocatoria del concurso público de las licencias de servicios audiovisuales de radiodifusión sonora digital terrestre integrados en los bloques de frecuencias asignadas al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sucinta argumentación dada entonces por este tribunal resulta plenamente extrapolable al presente supuesto, habida cuenta que de la suspensión de la falta de convocatoria del concurso público al que se ha hecho mención no se deriva ningún efecto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si se trasciende de la literalidad de la petición formulada, lo que realmente se interesa en esta pieza cautelar es que este tribunal ordene que se convoque el concurso público al que se ha hecho mención. A la vista de lo argumentado en la demanda y en el escrito de alegaciones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costas, por cuantía máxima de 600 euros.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