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61-2023, promovido por don Denís Alexander Rojas López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enero de 2023, la procuradora doña Cristina Álvarez Pérez, bajo la dirección del letrado don César Manuel Pinto Cañón, interpuso demanda de amparo contra la providencia de la Sección Primera de la Sala de lo Contencioso-Administrativo del Tribunal Supremo, dictada en el recurso de casación 5811-2022, contra la sentencia de la Sección Quinta de la Sala de lo Contencioso-Administrativo de la Audiencia Nacional dictada en el procedimiento ordinario 363-2021.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61-2023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